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15" w:rsidRDefault="00CB1A3C">
      <w:pPr>
        <w:pStyle w:val="a3"/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.65pt;margin-top:2.55pt;width:532.05pt;height:34.25pt;z-index:251660288">
            <v:textbox>
              <w:txbxContent>
                <w:p w:rsidR="00CB1A3C" w:rsidRPr="00CB1A3C" w:rsidRDefault="00CB1A3C">
                  <w:pPr>
                    <w:rPr>
                      <w:rFonts w:ascii="Arial Narrow" w:hAnsi="Arial Narrow"/>
                      <w:b/>
                      <w:sz w:val="36"/>
                      <w:lang w:val="ru-RU"/>
                    </w:rPr>
                  </w:pPr>
                  <w:r w:rsidRPr="00CB1A3C">
                    <w:rPr>
                      <w:rFonts w:ascii="Arial Narrow" w:hAnsi="Arial Narrow"/>
                      <w:b/>
                      <w:sz w:val="36"/>
                      <w:lang w:val="ru-RU"/>
                    </w:rPr>
                    <w:t xml:space="preserve">Критическая готовность и ответные действия для </w:t>
                  </w:r>
                  <w:r w:rsidRPr="00CB1A3C">
                    <w:rPr>
                      <w:rFonts w:ascii="Arial Narrow" w:hAnsi="Arial Narrow"/>
                      <w:b/>
                      <w:sz w:val="36"/>
                    </w:rPr>
                    <w:t>COVID</w:t>
                  </w:r>
                  <w:r w:rsidRPr="00CB1A3C">
                    <w:rPr>
                      <w:rFonts w:ascii="Arial Narrow" w:hAnsi="Arial Narrow"/>
                      <w:b/>
                      <w:sz w:val="36"/>
                      <w:lang w:val="ru-RU"/>
                    </w:rPr>
                    <w:t>-19</w:t>
                  </w:r>
                </w:p>
              </w:txbxContent>
            </v:textbox>
          </v:shape>
        </w:pict>
      </w:r>
      <w:r w:rsidR="000C6F90" w:rsidRPr="00C71215">
        <w:pict>
          <v:group id="_x0000_s1026" style="position:absolute;margin-left:1.8pt;margin-top:1.7pt;width:594.75pt;height:156.25pt;z-index:-251657216;mso-position-horizontal-relative:page;mso-position-vertical-relative:page" coordorigin="115,370" coordsize="11655,3231">
            <v:shape id="_x0000_s1034" style="position:absolute;left:115;top:369;width:11655;height:3231" coordorigin="115,370" coordsize="11655,3231" path="m11770,370r,l115,370r,499l115,2064r111,l115,2064r,1310l115,3600r11655,l11770,3374r,-1310l11664,2064r-504,l715,2064r,l11770,2064r,-1195l11770,370e" fillcolor="#d9d9d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214;top:2545;width:2747;height:829">
              <v:imagedata r:id="rId7" o:title=""/>
            </v:shape>
            <v:shape id="_x0000_s1032" type="#_x0000_t202" style="position:absolute;left:931;top:868;width:1325;height:595" filled="f" stroked="f">
              <v:textbox style="mso-next-textbox:#_x0000_s1032" inset="0,0,0,0">
                <w:txbxContent>
                  <w:p w:rsidR="00C71215" w:rsidRPr="00CB1A3C" w:rsidRDefault="00CB1A3C" w:rsidP="00CB1A3C">
                    <w:pPr>
                      <w:spacing w:line="594" w:lineRule="exact"/>
                      <w:ind w:right="89"/>
                      <w:rPr>
                        <w:rFonts w:ascii="Arial Narrow" w:hAnsi="Arial Narrow"/>
                        <w:b/>
                        <w:sz w:val="24"/>
                        <w:szCs w:val="24"/>
                        <w:lang w:val="ru-RU"/>
                      </w:rPr>
                    </w:pPr>
                    <w:r w:rsidRPr="00CB1A3C">
                      <w:rPr>
                        <w:rFonts w:ascii="Arial Narrow" w:hAnsi="Arial Narrow"/>
                        <w:b/>
                        <w:sz w:val="24"/>
                        <w:szCs w:val="24"/>
                        <w:lang w:val="ru-RU"/>
                      </w:rPr>
                      <w:t>Критические</w:t>
                    </w:r>
                  </w:p>
                </w:txbxContent>
              </v:textbox>
            </v:shape>
            <v:shape id="_x0000_s1031" type="#_x0000_t202" style="position:absolute;left:2655;top:868;width:2735;height:595" filled="f" stroked="f">
              <v:textbox style="mso-next-textbox:#_x0000_s1031" inset="0,0,0,0">
                <w:txbxContent>
                  <w:p w:rsidR="00C71215" w:rsidRPr="00CB1A3C" w:rsidRDefault="00CB1A3C">
                    <w:pPr>
                      <w:spacing w:line="594" w:lineRule="exact"/>
                      <w:rPr>
                        <w:rFonts w:ascii="Arial Narrow" w:hAnsi="Arial Narrow"/>
                        <w:b/>
                        <w:sz w:val="28"/>
                      </w:rPr>
                    </w:pPr>
                    <w:r w:rsidRPr="00CB1A3C">
                      <w:rPr>
                        <w:rFonts w:ascii="Arial Narrow" w:hAnsi="Arial Narrow"/>
                        <w:b/>
                        <w:w w:val="95"/>
                        <w:sz w:val="28"/>
                        <w:lang w:val="ru-RU"/>
                      </w:rPr>
                      <w:t>готовность</w:t>
                    </w:r>
                    <w:r w:rsidR="00025A20" w:rsidRPr="00CB1A3C">
                      <w:rPr>
                        <w:rFonts w:ascii="Arial Narrow" w:hAnsi="Arial Narrow"/>
                        <w:b/>
                        <w:w w:val="95"/>
                        <w:sz w:val="28"/>
                      </w:rPr>
                      <w:t>,</w:t>
                    </w:r>
                  </w:p>
                </w:txbxContent>
              </v:textbox>
            </v:shape>
            <v:shape id="_x0000_s1030" type="#_x0000_t202" style="position:absolute;left:5793;top:868;width:1865;height:595" filled="f" stroked="f">
              <v:textbox style="mso-next-textbox:#_x0000_s1030" inset="0,0,0,0">
                <w:txbxContent>
                  <w:p w:rsidR="00C71215" w:rsidRPr="00CB1A3C" w:rsidRDefault="00C71215">
                    <w:pPr>
                      <w:spacing w:line="594" w:lineRule="exact"/>
                      <w:rPr>
                        <w:rFonts w:ascii="Arial Narrow"/>
                        <w:sz w:val="52"/>
                        <w:lang w:val="ru-RU"/>
                      </w:rPr>
                    </w:pPr>
                  </w:p>
                </w:txbxContent>
              </v:textbox>
            </v:shape>
            <v:shape id="_x0000_s1029" type="#_x0000_t202" style="position:absolute;left:8054;top:868;width:732;height:595" filled="f" stroked="f">
              <v:textbox style="mso-next-textbox:#_x0000_s1029" inset="0,0,0,0">
                <w:txbxContent>
                  <w:p w:rsidR="00C71215" w:rsidRPr="00CB1A3C" w:rsidRDefault="00C71215" w:rsidP="00CB1A3C"/>
                </w:txbxContent>
              </v:textbox>
            </v:shape>
            <v:shape id="_x0000_s1028" type="#_x0000_t202" style="position:absolute;left:9182;top:868;width:1778;height:595" filled="f" stroked="f">
              <v:textbox style="mso-next-textbox:#_x0000_s1028" inset="0,0,0,0">
                <w:txbxContent>
                  <w:p w:rsidR="00C71215" w:rsidRPr="00CB1A3C" w:rsidRDefault="00C71215" w:rsidP="00CB1A3C"/>
                </w:txbxContent>
              </v:textbox>
            </v:shape>
            <v:shape id="_x0000_s1027" type="#_x0000_t202" style="position:absolute;left:931;top:1468;width:4067;height:1905" filled="f" stroked="f">
              <v:textbox style="mso-next-textbox:#_x0000_s1027" inset="0,0,0,0">
                <w:txbxContent>
                  <w:p w:rsidR="00CB1A3C" w:rsidRDefault="00CB1A3C" w:rsidP="00CB1A3C">
                    <w:pPr>
                      <w:ind w:right="-5913"/>
                      <w:rPr>
                        <w:rFonts w:ascii="Arial Narrow" w:hAnsi="Arial Narrow"/>
                        <w:sz w:val="28"/>
                        <w:szCs w:val="28"/>
                        <w:lang w:val="ru-RU"/>
                      </w:rPr>
                    </w:pPr>
                  </w:p>
                  <w:p w:rsidR="00CB1A3C" w:rsidRPr="00CB1A3C" w:rsidRDefault="00CB1A3C" w:rsidP="00CB1A3C">
                    <w:pPr>
                      <w:ind w:right="-5913"/>
                      <w:rPr>
                        <w:rFonts w:ascii="Arial Narrow" w:hAnsi="Arial Narrow" w:cstheme="minorHAnsi"/>
                        <w:sz w:val="28"/>
                        <w:szCs w:val="24"/>
                      </w:rPr>
                    </w:pPr>
                    <w:r w:rsidRPr="00CB1A3C">
                      <w:rPr>
                        <w:rFonts w:ascii="Arial Narrow" w:hAnsi="Arial Narrow" w:cstheme="minorHAnsi"/>
                        <w:sz w:val="28"/>
                        <w:szCs w:val="24"/>
                        <w:lang w:val="ru-RU"/>
                      </w:rPr>
                      <w:t>Временное</w:t>
                    </w:r>
                    <w:r w:rsidRPr="00CB1A3C">
                      <w:rPr>
                        <w:rFonts w:ascii="Arial Narrow" w:hAnsi="Arial Narrow" w:cstheme="minorHAnsi"/>
                        <w:sz w:val="28"/>
                        <w:szCs w:val="24"/>
                      </w:rPr>
                      <w:t xml:space="preserve"> </w:t>
                    </w:r>
                    <w:r w:rsidRPr="00CB1A3C">
                      <w:rPr>
                        <w:rFonts w:ascii="Arial Narrow" w:hAnsi="Arial Narrow" w:cstheme="minorHAnsi"/>
                        <w:sz w:val="28"/>
                        <w:szCs w:val="24"/>
                        <w:lang w:val="ru-RU"/>
                      </w:rPr>
                      <w:t>руководство</w:t>
                    </w:r>
                  </w:p>
                  <w:p w:rsidR="00C71215" w:rsidRPr="00CB1A3C" w:rsidRDefault="00025A20" w:rsidP="00CB1A3C">
                    <w:pPr>
                      <w:ind w:right="-5913"/>
                      <w:rPr>
                        <w:rFonts w:ascii="Arial Narrow"/>
                        <w:sz w:val="52"/>
                      </w:rPr>
                    </w:pPr>
                    <w:r>
                      <w:rPr>
                        <w:rFonts w:ascii="Arial Narrow"/>
                        <w:sz w:val="28"/>
                      </w:rPr>
                      <w:t xml:space="preserve">7 </w:t>
                    </w:r>
                    <w:r w:rsidR="00F42E00" w:rsidRPr="00F42E00">
                      <w:rPr>
                        <w:rFonts w:ascii="Arial Narrow" w:hAnsi="Arial Narrow"/>
                        <w:sz w:val="28"/>
                        <w:lang w:val="ru-RU"/>
                      </w:rPr>
                      <w:t>марта</w:t>
                    </w:r>
                    <w:r w:rsidRPr="00F42E00">
                      <w:rPr>
                        <w:rFonts w:ascii="Arial Narrow" w:hAnsi="Arial Narrow"/>
                        <w:sz w:val="28"/>
                      </w:rPr>
                      <w:t xml:space="preserve"> 2</w:t>
                    </w:r>
                    <w:r>
                      <w:rPr>
                        <w:rFonts w:ascii="Arial Narrow"/>
                        <w:sz w:val="28"/>
                      </w:rPr>
                      <w:t>020</w:t>
                    </w:r>
                  </w:p>
                  <w:p w:rsidR="00C71215" w:rsidRDefault="00C71215" w:rsidP="00CB1A3C">
                    <w:pPr>
                      <w:spacing w:before="11"/>
                      <w:ind w:right="-5913"/>
                      <w:rPr>
                        <w:rFonts w:ascii="Arial Narrow"/>
                        <w:sz w:val="27"/>
                      </w:rPr>
                    </w:pPr>
                  </w:p>
                  <w:p w:rsidR="00C71215" w:rsidRDefault="00025A20" w:rsidP="00CB1A3C">
                    <w:pPr>
                      <w:ind w:right="-5913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  <w:color w:val="008DCD"/>
                      </w:rPr>
                      <w:t>WHO/COVID-19/Actions/v1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71215" w:rsidRDefault="00C71215">
      <w:pPr>
        <w:pStyle w:val="a3"/>
      </w:pPr>
    </w:p>
    <w:p w:rsidR="00C71215" w:rsidRDefault="00CB1A3C" w:rsidP="00CB1A3C">
      <w:pPr>
        <w:pStyle w:val="a3"/>
        <w:tabs>
          <w:tab w:val="left" w:pos="1010"/>
        </w:tabs>
      </w:pPr>
      <w:r>
        <w:tab/>
      </w: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Default="00C71215">
      <w:pPr>
        <w:pStyle w:val="a3"/>
      </w:pPr>
    </w:p>
    <w:p w:rsidR="00C71215" w:rsidRPr="00F42E00" w:rsidRDefault="00F42E00">
      <w:pPr>
        <w:spacing w:before="234"/>
        <w:ind w:left="109"/>
        <w:rPr>
          <w:rFonts w:ascii="Arial Narrow"/>
          <w:sz w:val="26"/>
          <w:lang w:val="ru-RU"/>
        </w:rPr>
      </w:pPr>
      <w:r>
        <w:rPr>
          <w:rFonts w:ascii="Arial Narrow"/>
          <w:color w:val="008DCD"/>
          <w:sz w:val="26"/>
          <w:lang w:val="ru-RU"/>
        </w:rPr>
        <w:t>Предпосылки</w:t>
      </w:r>
    </w:p>
    <w:p w:rsidR="00C71215" w:rsidRPr="000C6F90" w:rsidRDefault="000C6F90">
      <w:pPr>
        <w:pStyle w:val="a3"/>
        <w:ind w:left="109" w:right="46"/>
        <w:rPr>
          <w:rFonts w:ascii="Arial Narrow" w:hAnsi="Arial Narrow"/>
          <w:sz w:val="22"/>
          <w:lang w:val="ru-RU"/>
        </w:rPr>
      </w:pPr>
      <w:r w:rsidRPr="000C6F90">
        <w:rPr>
          <w:rFonts w:ascii="Arial Narrow" w:hAnsi="Arial Narrow"/>
          <w:sz w:val="22"/>
          <w:lang w:val="ru-RU"/>
        </w:rPr>
        <w:t xml:space="preserve">30 января 2020 года ВОЗ объявила, что вспышка </w:t>
      </w:r>
      <w:r w:rsidRPr="000C6F90">
        <w:rPr>
          <w:rFonts w:ascii="Arial Narrow" w:hAnsi="Arial Narrow"/>
          <w:sz w:val="22"/>
        </w:rPr>
        <w:t>COVID</w:t>
      </w:r>
      <w:r w:rsidRPr="000C6F90">
        <w:rPr>
          <w:rFonts w:ascii="Arial Narrow" w:hAnsi="Arial Narrow"/>
          <w:sz w:val="22"/>
          <w:lang w:val="ru-RU"/>
        </w:rPr>
        <w:t xml:space="preserve">-19 является чрезвычайной ситуацией в области общественного здравоохранения, имеющей международное значение. По состоянию на 4 марта 2020 года случаи </w:t>
      </w:r>
      <w:r w:rsidRPr="000C6F90">
        <w:rPr>
          <w:rFonts w:ascii="Arial Narrow" w:hAnsi="Arial Narrow"/>
          <w:sz w:val="22"/>
        </w:rPr>
        <w:t>COVID</w:t>
      </w:r>
      <w:r w:rsidRPr="000C6F90">
        <w:rPr>
          <w:rFonts w:ascii="Arial Narrow" w:hAnsi="Arial Narrow"/>
          <w:sz w:val="22"/>
          <w:lang w:val="ru-RU"/>
        </w:rPr>
        <w:t>-19 были зарегистрированы в 77 странах. На сегодняшний день большинство случаев было зарегистрировано в Китае, а в некоторых других странах - среди лиц с историей поездок в Китай. В феврале 2020 года число случаев в Китае уменьшилось, а число случаев и стран, сообщивших о случаях, увеличилось</w:t>
      </w:r>
      <w:r w:rsidR="00025A20" w:rsidRPr="000C6F90">
        <w:rPr>
          <w:rFonts w:ascii="Arial Narrow" w:hAnsi="Arial Narrow"/>
          <w:sz w:val="22"/>
          <w:lang w:val="ru-RU"/>
        </w:rPr>
        <w:t>.</w:t>
      </w:r>
    </w:p>
    <w:p w:rsidR="00C71215" w:rsidRPr="000C6F90" w:rsidRDefault="00C71215">
      <w:pPr>
        <w:pStyle w:val="a3"/>
        <w:spacing w:before="2"/>
        <w:rPr>
          <w:sz w:val="21"/>
          <w:lang w:val="ru-RU"/>
        </w:rPr>
      </w:pPr>
    </w:p>
    <w:p w:rsidR="00C71215" w:rsidRPr="000C6F90" w:rsidRDefault="000C6F90">
      <w:pPr>
        <w:pStyle w:val="a3"/>
        <w:ind w:left="109" w:right="38"/>
        <w:rPr>
          <w:rFonts w:ascii="Arial Narrow" w:hAnsi="Arial Narrow"/>
          <w:sz w:val="22"/>
          <w:lang w:val="ru-RU"/>
        </w:rPr>
      </w:pPr>
      <w:r w:rsidRPr="000C6F90">
        <w:rPr>
          <w:rFonts w:ascii="Arial Narrow" w:hAnsi="Arial Narrow"/>
          <w:sz w:val="22"/>
          <w:lang w:val="ru-RU"/>
        </w:rPr>
        <w:t xml:space="preserve">Несколько стран продемонстрировали, что передача </w:t>
      </w:r>
      <w:r w:rsidRPr="000C6F90">
        <w:rPr>
          <w:rFonts w:ascii="Arial Narrow" w:hAnsi="Arial Narrow"/>
          <w:sz w:val="22"/>
        </w:rPr>
        <w:t>COVID</w:t>
      </w:r>
      <w:r w:rsidRPr="000C6F90">
        <w:rPr>
          <w:rFonts w:ascii="Arial Narrow" w:hAnsi="Arial Narrow"/>
          <w:sz w:val="22"/>
          <w:lang w:val="ru-RU"/>
        </w:rPr>
        <w:t xml:space="preserve">-19 от одного человека другому может быть замедлена или прекращена. Эти действия спасли жизни и дали остальному миру больше времени для подготовки к </w:t>
      </w:r>
      <w:r w:rsidR="009F64E3">
        <w:rPr>
          <w:rFonts w:ascii="Arial Narrow" w:hAnsi="Arial Narrow"/>
          <w:sz w:val="22"/>
          <w:lang w:val="ru-RU"/>
        </w:rPr>
        <w:t>наступлению</w:t>
      </w:r>
      <w:r w:rsidRPr="000C6F90">
        <w:rPr>
          <w:rFonts w:ascii="Arial Narrow" w:hAnsi="Arial Narrow"/>
          <w:sz w:val="22"/>
          <w:lang w:val="ru-RU"/>
        </w:rPr>
        <w:t xml:space="preserve"> </w:t>
      </w:r>
      <w:r w:rsidRPr="000C6F90">
        <w:rPr>
          <w:rFonts w:ascii="Arial Narrow" w:hAnsi="Arial Narrow"/>
          <w:sz w:val="22"/>
        </w:rPr>
        <w:t>COVID</w:t>
      </w:r>
      <w:r w:rsidRPr="000C6F90">
        <w:rPr>
          <w:rFonts w:ascii="Arial Narrow" w:hAnsi="Arial Narrow"/>
          <w:sz w:val="22"/>
          <w:lang w:val="ru-RU"/>
        </w:rPr>
        <w:t xml:space="preserve">-19: </w:t>
      </w:r>
      <w:r w:rsidR="009F64E3">
        <w:rPr>
          <w:rFonts w:ascii="Arial Narrow" w:hAnsi="Arial Narrow"/>
          <w:sz w:val="22"/>
          <w:lang w:val="ru-RU"/>
        </w:rPr>
        <w:t>подготовить системы</w:t>
      </w:r>
      <w:r w:rsidRPr="000C6F90">
        <w:rPr>
          <w:rFonts w:ascii="Arial Narrow" w:hAnsi="Arial Narrow"/>
          <w:sz w:val="22"/>
          <w:lang w:val="ru-RU"/>
        </w:rPr>
        <w:t xml:space="preserve"> </w:t>
      </w:r>
      <w:r w:rsidR="009F64E3">
        <w:rPr>
          <w:rFonts w:ascii="Arial Narrow" w:hAnsi="Arial Narrow"/>
          <w:sz w:val="22"/>
          <w:lang w:val="ru-RU"/>
        </w:rPr>
        <w:t>оперативного</w:t>
      </w:r>
      <w:r w:rsidRPr="000C6F90">
        <w:rPr>
          <w:rFonts w:ascii="Arial Narrow" w:hAnsi="Arial Narrow"/>
          <w:sz w:val="22"/>
          <w:lang w:val="ru-RU"/>
        </w:rPr>
        <w:t xml:space="preserve"> реагирования; повысить способность выявлять пациентов и заботиться о них; обеспечить больницам пространство, запасы и необходимый персонал; и разработать жизненно важные медицинские вмешательства. Каждая страна должна в срочном порядке принять все необходимые меры, чтобы замедлить дальнейшее распространение и избежать того, чтобы их системы здравоохранения были перегружены из-за тяжелобольных пациентов с </w:t>
      </w:r>
      <w:r w:rsidRPr="000C6F90">
        <w:rPr>
          <w:rFonts w:ascii="Arial Narrow" w:hAnsi="Arial Narrow"/>
          <w:sz w:val="22"/>
        </w:rPr>
        <w:t>COVID</w:t>
      </w:r>
      <w:r w:rsidRPr="000C6F90">
        <w:rPr>
          <w:rFonts w:ascii="Arial Narrow" w:hAnsi="Arial Narrow"/>
          <w:sz w:val="22"/>
          <w:lang w:val="ru-RU"/>
        </w:rPr>
        <w:t>-19</w:t>
      </w:r>
      <w:r w:rsidR="00025A20" w:rsidRPr="000C6F90">
        <w:rPr>
          <w:rFonts w:ascii="Arial Narrow" w:hAnsi="Arial Narrow"/>
          <w:sz w:val="22"/>
          <w:lang w:val="ru-RU"/>
        </w:rPr>
        <w:t>.</w:t>
      </w:r>
    </w:p>
    <w:p w:rsidR="00C71215" w:rsidRPr="000C6F90" w:rsidRDefault="00C71215">
      <w:pPr>
        <w:pStyle w:val="a3"/>
        <w:spacing w:before="10"/>
        <w:rPr>
          <w:lang w:val="ru-RU"/>
        </w:rPr>
      </w:pPr>
    </w:p>
    <w:p w:rsidR="00C71215" w:rsidRPr="000C6F90" w:rsidRDefault="000C6F90" w:rsidP="000C6F90">
      <w:pPr>
        <w:pStyle w:val="a3"/>
        <w:ind w:left="109" w:right="111"/>
        <w:rPr>
          <w:rFonts w:ascii="Arial Narrow" w:hAnsi="Arial Narrow"/>
          <w:b/>
          <w:sz w:val="22"/>
          <w:lang w:val="ru-RU"/>
        </w:rPr>
      </w:pPr>
      <w:r w:rsidRPr="000C6F90">
        <w:rPr>
          <w:rFonts w:ascii="Arial Narrow" w:hAnsi="Arial Narrow"/>
          <w:b/>
          <w:sz w:val="22"/>
          <w:lang w:val="ru-RU"/>
        </w:rPr>
        <w:t xml:space="preserve">План стратегической готовности и реагирования для </w:t>
      </w:r>
      <w:r w:rsidRPr="000C6F90">
        <w:rPr>
          <w:rFonts w:ascii="Arial Narrow" w:hAnsi="Arial Narrow"/>
          <w:b/>
          <w:sz w:val="22"/>
        </w:rPr>
        <w:t>COVID</w:t>
      </w:r>
      <w:r w:rsidRPr="000C6F90">
        <w:rPr>
          <w:rFonts w:ascii="Arial Narrow" w:hAnsi="Arial Narrow"/>
          <w:b/>
          <w:sz w:val="22"/>
          <w:lang w:val="ru-RU"/>
        </w:rPr>
        <w:t>-19 направлен на</w:t>
      </w:r>
      <w:r w:rsidR="00025A20" w:rsidRPr="000C6F90">
        <w:rPr>
          <w:rFonts w:ascii="Arial Narrow" w:hAnsi="Arial Narrow"/>
          <w:b/>
          <w:sz w:val="22"/>
          <w:lang w:val="ru-RU"/>
        </w:rPr>
        <w:t>:</w:t>
      </w:r>
    </w:p>
    <w:p w:rsidR="00C71215" w:rsidRPr="000C6F90" w:rsidRDefault="0081342D" w:rsidP="000C6F90">
      <w:pPr>
        <w:pStyle w:val="a4"/>
        <w:numPr>
          <w:ilvl w:val="0"/>
          <w:numId w:val="1"/>
        </w:numPr>
        <w:tabs>
          <w:tab w:val="left" w:pos="469"/>
          <w:tab w:val="left" w:pos="470"/>
        </w:tabs>
        <w:spacing w:before="1"/>
        <w:ind w:right="473"/>
        <w:jc w:val="left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Замедление и остановку передачи, предотвращение вспышки и задержку распространения</w:t>
      </w:r>
      <w:r w:rsidR="000C6F90" w:rsidRPr="000C6F90">
        <w:rPr>
          <w:rFonts w:ascii="Arial Narrow" w:hAnsi="Arial Narrow"/>
          <w:lang w:val="ru-RU"/>
        </w:rPr>
        <w:t>;</w:t>
      </w:r>
    </w:p>
    <w:p w:rsidR="00C71215" w:rsidRPr="000C6F90" w:rsidRDefault="000C6F90" w:rsidP="000C6F90">
      <w:pPr>
        <w:pStyle w:val="a4"/>
        <w:numPr>
          <w:ilvl w:val="0"/>
          <w:numId w:val="1"/>
        </w:numPr>
        <w:tabs>
          <w:tab w:val="left" w:pos="469"/>
          <w:tab w:val="left" w:pos="470"/>
        </w:tabs>
        <w:ind w:right="283"/>
        <w:jc w:val="left"/>
        <w:rPr>
          <w:rFonts w:ascii="Arial Narrow" w:hAnsi="Arial Narrow"/>
          <w:lang w:val="ru-RU"/>
        </w:rPr>
      </w:pPr>
      <w:r w:rsidRPr="000C6F90">
        <w:rPr>
          <w:rFonts w:ascii="Arial Narrow" w:hAnsi="Arial Narrow"/>
          <w:lang w:val="ru-RU"/>
        </w:rPr>
        <w:t>Обесп</w:t>
      </w:r>
      <w:r w:rsidR="0081342D">
        <w:rPr>
          <w:rFonts w:ascii="Arial Narrow" w:hAnsi="Arial Narrow"/>
          <w:lang w:val="ru-RU"/>
        </w:rPr>
        <w:t>ечение оптимальной помощи</w:t>
      </w:r>
      <w:r w:rsidRPr="000C6F90">
        <w:rPr>
          <w:rFonts w:ascii="Arial Narrow" w:hAnsi="Arial Narrow"/>
          <w:lang w:val="ru-RU"/>
        </w:rPr>
        <w:t xml:space="preserve"> всем пациентам, особенно тяжело больным;</w:t>
      </w:r>
    </w:p>
    <w:p w:rsidR="00C71215" w:rsidRPr="000C6F90" w:rsidRDefault="0081342D" w:rsidP="000C6F90">
      <w:pPr>
        <w:pStyle w:val="a4"/>
        <w:numPr>
          <w:ilvl w:val="0"/>
          <w:numId w:val="1"/>
        </w:numPr>
        <w:tabs>
          <w:tab w:val="left" w:pos="469"/>
          <w:tab w:val="left" w:pos="470"/>
        </w:tabs>
        <w:ind w:right="53"/>
        <w:jc w:val="left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 xml:space="preserve">Минимизацию влияния </w:t>
      </w:r>
      <w:r w:rsidR="000C6F90" w:rsidRPr="000C6F90">
        <w:rPr>
          <w:rFonts w:ascii="Arial Narrow" w:hAnsi="Arial Narrow"/>
          <w:lang w:val="ru-RU"/>
        </w:rPr>
        <w:t>эпидемии на системы здравоохранения, социальные услуги и экономическую активность;</w:t>
      </w:r>
    </w:p>
    <w:p w:rsidR="00C71215" w:rsidRPr="000C6F90" w:rsidRDefault="00C71215">
      <w:pPr>
        <w:pStyle w:val="a3"/>
        <w:spacing w:before="5"/>
        <w:rPr>
          <w:lang w:val="ru-RU"/>
        </w:rPr>
      </w:pPr>
    </w:p>
    <w:p w:rsidR="00C71215" w:rsidRPr="00581CD3" w:rsidRDefault="000C6F90" w:rsidP="00581CD3">
      <w:pPr>
        <w:pStyle w:val="a3"/>
        <w:spacing w:before="1"/>
        <w:ind w:left="109" w:right="46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  <w:lang w:val="ru-RU"/>
        </w:rPr>
        <w:t>Все страны должны пов</w:t>
      </w:r>
      <w:r w:rsidR="00F920C3">
        <w:rPr>
          <w:rFonts w:ascii="Arial Narrow" w:hAnsi="Arial Narrow"/>
          <w:sz w:val="22"/>
          <w:lang w:val="ru-RU"/>
        </w:rPr>
        <w:t xml:space="preserve">ысить уровень своей готовности </w:t>
      </w:r>
      <w:r w:rsidRPr="00581CD3">
        <w:rPr>
          <w:rFonts w:ascii="Arial Narrow" w:hAnsi="Arial Narrow"/>
          <w:sz w:val="22"/>
          <w:lang w:val="ru-RU"/>
        </w:rPr>
        <w:t xml:space="preserve">и реагирования </w:t>
      </w:r>
      <w:r w:rsidR="00F920C3">
        <w:rPr>
          <w:rFonts w:ascii="Arial Narrow" w:hAnsi="Arial Narrow"/>
          <w:sz w:val="22"/>
          <w:lang w:val="ru-RU"/>
        </w:rPr>
        <w:t xml:space="preserve">на вспышку </w:t>
      </w:r>
      <w:r w:rsidRPr="00581CD3">
        <w:rPr>
          <w:rFonts w:ascii="Arial Narrow" w:hAnsi="Arial Narrow"/>
          <w:sz w:val="22"/>
          <w:lang w:val="ru-RU"/>
        </w:rPr>
        <w:t xml:space="preserve">для выявления, ведения и лечения новых случаев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 xml:space="preserve">-19. Странам следует подготовиться к реагированию на различные сценарии общественного здравоохранения, признавая, что не существует универсального подхода к управлению случаями и вспышками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 xml:space="preserve">-19. Каждая страна должна оценить свой риск и быстро принять необходимые меры в соответствующем масштабе, чтобы уменьшить как передачу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>-19, так и экономические, общественные и социальные последствия</w:t>
      </w:r>
      <w:r w:rsidR="00025A20" w:rsidRPr="00581CD3">
        <w:rPr>
          <w:rFonts w:ascii="Arial Narrow" w:hAnsi="Arial Narrow"/>
          <w:sz w:val="22"/>
          <w:lang w:val="ru-RU"/>
        </w:rPr>
        <w:t>.</w:t>
      </w:r>
    </w:p>
    <w:p w:rsidR="00C71215" w:rsidRPr="00581CD3" w:rsidRDefault="00581CD3">
      <w:pPr>
        <w:spacing w:before="233"/>
        <w:ind w:left="109"/>
        <w:rPr>
          <w:rFonts w:ascii="Arial Narrow"/>
          <w:sz w:val="24"/>
          <w:lang w:val="ru-RU"/>
        </w:rPr>
      </w:pPr>
      <w:r>
        <w:rPr>
          <w:rFonts w:ascii="Arial Narrow"/>
          <w:color w:val="008DCD"/>
          <w:sz w:val="24"/>
          <w:lang w:val="ru-RU"/>
        </w:rPr>
        <w:t>СЦЕНАРИИ</w:t>
      </w:r>
    </w:p>
    <w:p w:rsidR="00C71215" w:rsidRPr="00581CD3" w:rsidRDefault="00581CD3">
      <w:pPr>
        <w:pStyle w:val="a3"/>
        <w:spacing w:before="243"/>
        <w:ind w:left="109" w:right="258"/>
        <w:rPr>
          <w:rFonts w:ascii="Arial Narrow" w:hAnsi="Arial Narrow"/>
          <w:b/>
          <w:sz w:val="22"/>
          <w:szCs w:val="22"/>
          <w:lang w:val="ru-RU"/>
        </w:rPr>
      </w:pPr>
      <w:r w:rsidRPr="00581CD3">
        <w:rPr>
          <w:rFonts w:ascii="Arial Narrow" w:hAnsi="Arial Narrow"/>
          <w:b/>
          <w:sz w:val="22"/>
          <w:szCs w:val="22"/>
          <w:lang w:val="ru-RU"/>
        </w:rPr>
        <w:t xml:space="preserve">ВОЗ определила четыре сценария передачи </w:t>
      </w:r>
      <w:r w:rsidR="00025A20" w:rsidRPr="00581CD3">
        <w:rPr>
          <w:rFonts w:ascii="Arial Narrow" w:hAnsi="Arial Narrow"/>
          <w:b/>
          <w:sz w:val="22"/>
          <w:szCs w:val="22"/>
        </w:rPr>
        <w:t>COVID</w:t>
      </w:r>
      <w:r w:rsidR="00025A20" w:rsidRPr="00581CD3">
        <w:rPr>
          <w:rFonts w:ascii="Arial Narrow" w:hAnsi="Arial Narrow"/>
          <w:b/>
          <w:sz w:val="22"/>
          <w:szCs w:val="22"/>
          <w:lang w:val="ru-RU"/>
        </w:rPr>
        <w:t>- 19:</w:t>
      </w:r>
    </w:p>
    <w:p w:rsidR="00C71215" w:rsidRPr="00581CD3" w:rsidRDefault="00F42E00">
      <w:pPr>
        <w:pStyle w:val="a4"/>
        <w:numPr>
          <w:ilvl w:val="1"/>
          <w:numId w:val="1"/>
        </w:numPr>
        <w:tabs>
          <w:tab w:val="left" w:pos="830"/>
        </w:tabs>
        <w:ind w:hanging="361"/>
        <w:jc w:val="both"/>
        <w:rPr>
          <w:rFonts w:ascii="Arial Narrow" w:hAnsi="Arial Narrow"/>
          <w:lang w:val="ru-RU"/>
        </w:rPr>
      </w:pPr>
      <w:r w:rsidRPr="00581CD3">
        <w:rPr>
          <w:rFonts w:ascii="Arial Narrow" w:hAnsi="Arial Narrow"/>
          <w:lang w:val="ru-RU"/>
        </w:rPr>
        <w:t>Страны с отсутствием случаев</w:t>
      </w:r>
      <w:r w:rsidR="00025A20" w:rsidRPr="00581CD3">
        <w:rPr>
          <w:rFonts w:ascii="Arial Narrow" w:hAnsi="Arial Narrow"/>
          <w:lang w:val="ru-RU"/>
        </w:rPr>
        <w:t xml:space="preserve"> (</w:t>
      </w:r>
      <w:r w:rsidRPr="00581CD3">
        <w:rPr>
          <w:rFonts w:ascii="Arial Narrow" w:hAnsi="Arial Narrow"/>
          <w:lang w:val="ru-RU"/>
        </w:rPr>
        <w:t>Не зафиксировано</w:t>
      </w:r>
      <w:r w:rsidR="00025A20" w:rsidRPr="00581CD3">
        <w:rPr>
          <w:rFonts w:ascii="Arial Narrow" w:hAnsi="Arial Narrow"/>
          <w:lang w:val="ru-RU"/>
        </w:rPr>
        <w:t>);</w:t>
      </w:r>
    </w:p>
    <w:p w:rsidR="00C71215" w:rsidRPr="00581CD3" w:rsidRDefault="00F42E00">
      <w:pPr>
        <w:pStyle w:val="a4"/>
        <w:numPr>
          <w:ilvl w:val="1"/>
          <w:numId w:val="1"/>
        </w:numPr>
        <w:tabs>
          <w:tab w:val="left" w:pos="830"/>
        </w:tabs>
        <w:spacing w:before="4" w:line="235" w:lineRule="auto"/>
        <w:ind w:right="146"/>
        <w:jc w:val="both"/>
        <w:rPr>
          <w:rFonts w:ascii="Arial Narrow" w:hAnsi="Arial Narrow"/>
          <w:lang w:val="ru-RU"/>
        </w:rPr>
      </w:pPr>
      <w:r w:rsidRPr="00581CD3">
        <w:rPr>
          <w:rFonts w:ascii="Arial Narrow" w:hAnsi="Arial Narrow"/>
          <w:lang w:val="ru-RU"/>
        </w:rPr>
        <w:t>Страны с 1 и более числом случаев, завезенных или найденных внутри</w:t>
      </w:r>
      <w:r w:rsidR="00025A20" w:rsidRPr="00581CD3">
        <w:rPr>
          <w:rFonts w:ascii="Arial Narrow" w:hAnsi="Arial Narrow"/>
          <w:lang w:val="ru-RU"/>
        </w:rPr>
        <w:t xml:space="preserve"> </w:t>
      </w:r>
      <w:r w:rsidR="00025A20" w:rsidRPr="00581CD3">
        <w:rPr>
          <w:rFonts w:ascii="Arial Narrow" w:hAnsi="Arial Narrow"/>
          <w:lang w:val="ru-RU"/>
        </w:rPr>
        <w:t>(</w:t>
      </w:r>
      <w:r w:rsidRPr="00581CD3">
        <w:rPr>
          <w:rFonts w:ascii="Arial Narrow" w:hAnsi="Arial Narrow"/>
          <w:lang w:val="ru-RU"/>
        </w:rPr>
        <w:t>Спорадические</w:t>
      </w:r>
      <w:r w:rsidR="00025A20" w:rsidRPr="00581CD3">
        <w:rPr>
          <w:rFonts w:ascii="Arial Narrow" w:hAnsi="Arial Narrow"/>
          <w:lang w:val="ru-RU"/>
        </w:rPr>
        <w:t>);</w:t>
      </w:r>
    </w:p>
    <w:p w:rsidR="00C71215" w:rsidRPr="00581CD3" w:rsidRDefault="00F42E00">
      <w:pPr>
        <w:pStyle w:val="a4"/>
        <w:numPr>
          <w:ilvl w:val="1"/>
          <w:numId w:val="1"/>
        </w:numPr>
        <w:tabs>
          <w:tab w:val="left" w:pos="830"/>
        </w:tabs>
        <w:spacing w:before="2"/>
        <w:ind w:right="596"/>
        <w:jc w:val="both"/>
        <w:rPr>
          <w:rFonts w:ascii="Arial Narrow" w:hAnsi="Arial Narrow"/>
          <w:lang w:val="ru-RU"/>
        </w:rPr>
      </w:pPr>
      <w:r w:rsidRPr="00581CD3">
        <w:rPr>
          <w:rFonts w:ascii="Arial Narrow" w:hAnsi="Arial Narrow"/>
          <w:lang w:val="ru-RU"/>
        </w:rPr>
        <w:t>Страны, в которых наблюдаются кластеры случаев во времени, географическом положении и / или общем воздействии (кластеры случаев)</w:t>
      </w:r>
      <w:r w:rsidR="00025A20" w:rsidRPr="00581CD3">
        <w:rPr>
          <w:rFonts w:ascii="Arial Narrow" w:hAnsi="Arial Narrow"/>
          <w:lang w:val="ru-RU"/>
        </w:rPr>
        <w:t>;</w:t>
      </w:r>
    </w:p>
    <w:p w:rsidR="00C71215" w:rsidRPr="00581CD3" w:rsidRDefault="00C11DAB">
      <w:pPr>
        <w:pStyle w:val="a4"/>
        <w:numPr>
          <w:ilvl w:val="1"/>
          <w:numId w:val="1"/>
        </w:numPr>
        <w:tabs>
          <w:tab w:val="left" w:pos="825"/>
        </w:tabs>
        <w:spacing w:before="1"/>
        <w:ind w:left="824" w:right="407"/>
        <w:jc w:val="both"/>
        <w:rPr>
          <w:rFonts w:ascii="Arial Narrow" w:hAnsi="Arial Narrow"/>
          <w:lang w:val="ru-RU"/>
        </w:rPr>
      </w:pPr>
      <w:r w:rsidRPr="00581CD3">
        <w:rPr>
          <w:rFonts w:ascii="Arial Narrow" w:hAnsi="Arial Narrow"/>
          <w:lang w:val="ru-RU"/>
        </w:rPr>
        <w:t>Страны, в которых наблюдаются более крупные вспышки местной передачи (передача в сообществе)</w:t>
      </w:r>
      <w:r w:rsidR="00025A20" w:rsidRPr="00581CD3">
        <w:rPr>
          <w:rFonts w:ascii="Arial Narrow" w:hAnsi="Arial Narrow"/>
          <w:lang w:val="ru-RU"/>
        </w:rPr>
        <w:t>.</w:t>
      </w:r>
    </w:p>
    <w:p w:rsidR="00C71215" w:rsidRPr="00581CD3" w:rsidRDefault="00C71215" w:rsidP="00581CD3">
      <w:pPr>
        <w:pStyle w:val="a3"/>
        <w:rPr>
          <w:rFonts w:ascii="Arial Narrow" w:hAnsi="Arial Narrow"/>
          <w:sz w:val="24"/>
          <w:lang w:val="ru-RU"/>
        </w:rPr>
      </w:pPr>
    </w:p>
    <w:p w:rsidR="00C71215" w:rsidRPr="00581CD3" w:rsidRDefault="00581CD3" w:rsidP="00581CD3">
      <w:pPr>
        <w:pStyle w:val="a3"/>
        <w:ind w:left="109" w:right="103"/>
        <w:jc w:val="both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  <w:lang w:val="ru-RU"/>
        </w:rPr>
        <w:t>Страны могут испытать один или несколько из этих сценариев на субнациональном уровне и должны адаптировать свой подход к местным условиям</w:t>
      </w:r>
      <w:r w:rsidR="00025A20" w:rsidRPr="00581CD3">
        <w:rPr>
          <w:rFonts w:ascii="Arial Narrow" w:hAnsi="Arial Narrow"/>
          <w:sz w:val="22"/>
          <w:lang w:val="ru-RU"/>
        </w:rPr>
        <w:t>.</w:t>
      </w:r>
    </w:p>
    <w:p w:rsidR="00C71215" w:rsidRPr="00581CD3" w:rsidRDefault="00C71215" w:rsidP="00581CD3">
      <w:pPr>
        <w:pStyle w:val="a3"/>
        <w:spacing w:before="2"/>
        <w:jc w:val="both"/>
        <w:rPr>
          <w:rFonts w:ascii="Arial Narrow" w:hAnsi="Arial Narrow"/>
          <w:sz w:val="22"/>
          <w:lang w:val="ru-RU"/>
        </w:rPr>
      </w:pPr>
    </w:p>
    <w:p w:rsidR="00C71215" w:rsidRPr="00581CD3" w:rsidRDefault="00581CD3" w:rsidP="00581CD3">
      <w:pPr>
        <w:pStyle w:val="a3"/>
        <w:ind w:left="109" w:right="208"/>
        <w:jc w:val="both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  <w:lang w:val="ru-RU"/>
        </w:rPr>
        <w:t xml:space="preserve">Странам следует подготовиться к реагированию на все сценарии передачи в соответствии с План стратегической готовности и реагирования на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>-19. Расстановка приоритетов и направленность ресурсов для каждой технической области будут зависеть от того, каким сценарием (-ами) передачи управляет страна</w:t>
      </w:r>
      <w:r w:rsidR="00025A20" w:rsidRPr="00581CD3">
        <w:rPr>
          <w:rFonts w:ascii="Arial Narrow" w:hAnsi="Arial Narrow"/>
          <w:sz w:val="22"/>
          <w:lang w:val="ru-RU"/>
        </w:rPr>
        <w:t>.</w:t>
      </w:r>
    </w:p>
    <w:p w:rsidR="00C71215" w:rsidRPr="00581CD3" w:rsidRDefault="00C71215" w:rsidP="00581CD3">
      <w:pPr>
        <w:pStyle w:val="a3"/>
        <w:jc w:val="both"/>
        <w:rPr>
          <w:rFonts w:ascii="Arial Narrow" w:hAnsi="Arial Narrow"/>
          <w:sz w:val="22"/>
          <w:lang w:val="ru-RU"/>
        </w:rPr>
      </w:pPr>
    </w:p>
    <w:p w:rsidR="00C71215" w:rsidRPr="00581CD3" w:rsidRDefault="00581CD3" w:rsidP="00581CD3">
      <w:pPr>
        <w:pStyle w:val="a3"/>
        <w:ind w:left="109" w:right="141"/>
        <w:jc w:val="both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 xml:space="preserve">-19 - это новое заболевание, отличное от ОРВИ, </w:t>
      </w:r>
      <w:r w:rsidRPr="00581CD3">
        <w:rPr>
          <w:rFonts w:ascii="Arial Narrow" w:hAnsi="Arial Narrow"/>
          <w:sz w:val="22"/>
        </w:rPr>
        <w:t>MERS</w:t>
      </w:r>
      <w:r w:rsidRPr="00581CD3">
        <w:rPr>
          <w:rFonts w:ascii="Arial Narrow" w:hAnsi="Arial Narrow"/>
          <w:sz w:val="22"/>
          <w:lang w:val="ru-RU"/>
        </w:rPr>
        <w:t xml:space="preserve"> и гриппа. Хотя коронавирусные и гриппозные инфекции могут иметь сходные симптомы, вирус, ответственный за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 xml:space="preserve">-19, отличается по распространенности и тяжести среди населения. Еще многое предстоит узнать о болезни и ее влиянии в разных </w:t>
      </w:r>
      <w:r w:rsidR="00D75096">
        <w:rPr>
          <w:rFonts w:ascii="Arial Narrow" w:hAnsi="Arial Narrow"/>
          <w:sz w:val="22"/>
          <w:lang w:val="ru-RU"/>
        </w:rPr>
        <w:t xml:space="preserve">контекстах. Готовность </w:t>
      </w:r>
      <w:r w:rsidRPr="00581CD3">
        <w:rPr>
          <w:rFonts w:ascii="Arial Narrow" w:hAnsi="Arial Narrow"/>
          <w:sz w:val="22"/>
          <w:lang w:val="ru-RU"/>
        </w:rPr>
        <w:t>и ответные действия будут и дальше стимулироваться быстрым накоплением научных знаний и знаний в области общественного здравоохранения</w:t>
      </w:r>
      <w:r w:rsidR="00025A20" w:rsidRPr="00581CD3">
        <w:rPr>
          <w:rFonts w:ascii="Arial Narrow" w:hAnsi="Arial Narrow"/>
          <w:sz w:val="22"/>
          <w:lang w:val="ru-RU"/>
        </w:rPr>
        <w:t>.</w:t>
      </w:r>
    </w:p>
    <w:p w:rsidR="00C71215" w:rsidRPr="00581CD3" w:rsidRDefault="00C71215">
      <w:pPr>
        <w:pStyle w:val="a3"/>
        <w:spacing w:before="9"/>
        <w:rPr>
          <w:lang w:val="ru-RU"/>
        </w:rPr>
      </w:pPr>
    </w:p>
    <w:p w:rsidR="00581CD3" w:rsidRPr="00581CD3" w:rsidRDefault="00581CD3" w:rsidP="00581CD3">
      <w:pPr>
        <w:pStyle w:val="a3"/>
        <w:ind w:left="109" w:right="839"/>
        <w:jc w:val="both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  <w:lang w:val="ru-RU"/>
        </w:rPr>
        <w:t>В таблице описаны дейс</w:t>
      </w:r>
      <w:r w:rsidR="00D75096">
        <w:rPr>
          <w:rFonts w:ascii="Arial Narrow" w:hAnsi="Arial Narrow"/>
          <w:sz w:val="22"/>
          <w:lang w:val="ru-RU"/>
        </w:rPr>
        <w:t xml:space="preserve">твия по обеспечению готовности </w:t>
      </w:r>
      <w:r w:rsidRPr="00581CD3">
        <w:rPr>
          <w:rFonts w:ascii="Arial Narrow" w:hAnsi="Arial Narrow"/>
          <w:sz w:val="22"/>
          <w:lang w:val="ru-RU"/>
        </w:rPr>
        <w:t xml:space="preserve">и реагирования для </w:t>
      </w:r>
      <w:r w:rsidRPr="00581CD3">
        <w:rPr>
          <w:rFonts w:ascii="Arial Narrow" w:hAnsi="Arial Narrow"/>
          <w:sz w:val="22"/>
        </w:rPr>
        <w:t>COVID</w:t>
      </w:r>
      <w:r w:rsidRPr="00581CD3">
        <w:rPr>
          <w:rFonts w:ascii="Arial Narrow" w:hAnsi="Arial Narrow"/>
          <w:sz w:val="22"/>
          <w:lang w:val="ru-RU"/>
        </w:rPr>
        <w:t>-19 для каждого сценария передачи. Предоставлены гиперссылки на существующее Техническое руководство ВОЗ.</w:t>
      </w:r>
    </w:p>
    <w:p w:rsidR="00C71215" w:rsidRPr="00581CD3" w:rsidRDefault="00581CD3" w:rsidP="00581CD3">
      <w:pPr>
        <w:pStyle w:val="a3"/>
        <w:ind w:left="109" w:right="839"/>
        <w:jc w:val="both"/>
        <w:rPr>
          <w:rFonts w:ascii="Arial Narrow" w:hAnsi="Arial Narrow"/>
          <w:sz w:val="22"/>
          <w:lang w:val="ru-RU"/>
        </w:rPr>
      </w:pPr>
      <w:r w:rsidRPr="00581CD3">
        <w:rPr>
          <w:rFonts w:ascii="Arial Narrow" w:hAnsi="Arial Narrow"/>
          <w:sz w:val="22"/>
          <w:lang w:val="ru-RU"/>
        </w:rPr>
        <w:t>Все технические руководства для ВОЗ можно найти здесь:</w:t>
      </w:r>
      <w:r w:rsidR="00025A20" w:rsidRPr="00581CD3">
        <w:rPr>
          <w:rFonts w:ascii="Arial Narrow" w:hAnsi="Arial Narrow"/>
          <w:sz w:val="22"/>
          <w:lang w:val="ru-RU"/>
        </w:rPr>
        <w:t xml:space="preserve">: </w:t>
      </w:r>
      <w:r w:rsidR="00025A20" w:rsidRPr="00581CD3">
        <w:rPr>
          <w:rFonts w:ascii="Arial Narrow" w:hAnsi="Arial Narrow"/>
          <w:color w:val="0000FF"/>
          <w:sz w:val="22"/>
          <w:u w:val="single" w:color="0000FF"/>
        </w:rPr>
        <w:t>https</w:t>
      </w:r>
      <w:r w:rsidR="00025A20" w:rsidRPr="00581CD3">
        <w:rPr>
          <w:rFonts w:ascii="Arial Narrow" w:hAnsi="Arial Narrow"/>
          <w:color w:val="0000FF"/>
          <w:sz w:val="22"/>
          <w:u w:val="single" w:color="0000FF"/>
          <w:lang w:val="ru-RU"/>
        </w:rPr>
        <w:t>://</w:t>
      </w:r>
      <w:hyperlink r:id="rId8"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www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.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who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.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int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/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emergencies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/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diseases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/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</w:rPr>
          <w:t>novel</w:t>
        </w:r>
        <w:r w:rsidR="00025A20" w:rsidRPr="00581CD3">
          <w:rPr>
            <w:rFonts w:ascii="Arial Narrow" w:hAnsi="Arial Narrow"/>
            <w:color w:val="0000FF"/>
            <w:sz w:val="22"/>
            <w:u w:val="single" w:color="0000FF"/>
            <w:lang w:val="ru-RU"/>
          </w:rPr>
          <w:t>-</w:t>
        </w:r>
      </w:hyperlink>
      <w:r w:rsidR="00025A20" w:rsidRPr="00581CD3">
        <w:rPr>
          <w:rFonts w:ascii="Arial Narrow" w:hAnsi="Arial Narrow"/>
          <w:color w:val="0000FF"/>
          <w:sz w:val="22"/>
          <w:lang w:val="ru-RU"/>
        </w:rPr>
        <w:t xml:space="preserve"> </w:t>
      </w:r>
      <w:r w:rsidR="00025A20" w:rsidRPr="00581CD3">
        <w:rPr>
          <w:rFonts w:ascii="Arial Narrow" w:hAnsi="Arial Narrow"/>
          <w:color w:val="0000FF"/>
          <w:sz w:val="22"/>
          <w:u w:val="single" w:color="0000FF"/>
        </w:rPr>
        <w:t>coronavirus</w:t>
      </w:r>
      <w:r w:rsidR="00025A20" w:rsidRPr="00581CD3">
        <w:rPr>
          <w:rFonts w:ascii="Arial Narrow" w:hAnsi="Arial Narrow"/>
          <w:color w:val="0000FF"/>
          <w:sz w:val="22"/>
          <w:u w:val="single" w:color="0000FF"/>
          <w:lang w:val="ru-RU"/>
        </w:rPr>
        <w:t>-2019/</w:t>
      </w:r>
      <w:r w:rsidR="00025A20" w:rsidRPr="00581CD3">
        <w:rPr>
          <w:rFonts w:ascii="Arial Narrow" w:hAnsi="Arial Narrow"/>
          <w:color w:val="0000FF"/>
          <w:sz w:val="22"/>
          <w:u w:val="single" w:color="0000FF"/>
        </w:rPr>
        <w:t>technical</w:t>
      </w:r>
      <w:r w:rsidR="00025A20" w:rsidRPr="00581CD3">
        <w:rPr>
          <w:rFonts w:ascii="Arial Narrow" w:hAnsi="Arial Narrow"/>
          <w:color w:val="0000FF"/>
          <w:sz w:val="22"/>
          <w:u w:val="single" w:color="0000FF"/>
          <w:lang w:val="ru-RU"/>
        </w:rPr>
        <w:t>-</w:t>
      </w:r>
      <w:r w:rsidR="00025A20" w:rsidRPr="00581CD3">
        <w:rPr>
          <w:rFonts w:ascii="Arial Narrow" w:hAnsi="Arial Narrow"/>
          <w:color w:val="0000FF"/>
          <w:sz w:val="22"/>
          <w:u w:val="single" w:color="0000FF"/>
        </w:rPr>
        <w:t>guidance</w:t>
      </w:r>
      <w:r w:rsidR="00025A20" w:rsidRPr="00581CD3">
        <w:rPr>
          <w:rFonts w:ascii="Arial Narrow" w:hAnsi="Arial Narrow"/>
          <w:sz w:val="22"/>
          <w:lang w:val="ru-RU"/>
        </w:rPr>
        <w:t>.</w:t>
      </w:r>
    </w:p>
    <w:p w:rsidR="00C71215" w:rsidRPr="00581CD3" w:rsidRDefault="00C71215">
      <w:pPr>
        <w:rPr>
          <w:lang w:val="ru-RU"/>
        </w:rPr>
        <w:sectPr w:rsidR="00C71215" w:rsidRPr="00581CD3" w:rsidSect="00581CD3">
          <w:type w:val="continuous"/>
          <w:pgSz w:w="11910" w:h="16840"/>
          <w:pgMar w:top="360" w:right="600" w:bottom="284" w:left="620" w:header="720" w:footer="720" w:gutter="0"/>
          <w:cols w:space="720"/>
        </w:sectPr>
      </w:pPr>
    </w:p>
    <w:p w:rsidR="00C71215" w:rsidRPr="00393DF3" w:rsidRDefault="00393DF3">
      <w:pPr>
        <w:spacing w:before="80" w:after="39"/>
        <w:ind w:left="109"/>
        <w:rPr>
          <w:b/>
          <w:sz w:val="24"/>
          <w:lang w:val="ru-RU"/>
        </w:rPr>
      </w:pPr>
      <w:r w:rsidRPr="00393DF3">
        <w:rPr>
          <w:b/>
          <w:sz w:val="24"/>
          <w:lang w:val="ru-RU"/>
        </w:rPr>
        <w:lastRenderedPageBreak/>
        <w:t>Таблица 1. Критическая готовность, готовность и ответные действия для каждого сценария передачи для</w:t>
      </w:r>
      <w:r w:rsidR="00025A20" w:rsidRPr="00393DF3">
        <w:rPr>
          <w:b/>
          <w:sz w:val="24"/>
          <w:lang w:val="ru-RU"/>
        </w:rPr>
        <w:t xml:space="preserve"> </w:t>
      </w:r>
      <w:r w:rsidR="00025A20">
        <w:rPr>
          <w:b/>
          <w:sz w:val="24"/>
        </w:rPr>
        <w:t>COVID</w:t>
      </w:r>
      <w:r w:rsidR="00025A20" w:rsidRPr="00393DF3">
        <w:rPr>
          <w:b/>
          <w:sz w:val="24"/>
          <w:lang w:val="ru-RU"/>
        </w:rPr>
        <w:t>-19</w:t>
      </w:r>
    </w:p>
    <w:tbl>
      <w:tblPr>
        <w:tblStyle w:val="TableNormal"/>
        <w:tblW w:w="0" w:type="auto"/>
        <w:tblInd w:w="11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/>
      </w:tblPr>
      <w:tblGrid>
        <w:gridCol w:w="8"/>
        <w:gridCol w:w="2397"/>
        <w:gridCol w:w="8"/>
        <w:gridCol w:w="3112"/>
        <w:gridCol w:w="8"/>
        <w:gridCol w:w="3251"/>
        <w:gridCol w:w="8"/>
        <w:gridCol w:w="3120"/>
        <w:gridCol w:w="23"/>
        <w:gridCol w:w="3519"/>
        <w:gridCol w:w="25"/>
      </w:tblGrid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312"/>
        </w:trPr>
        <w:tc>
          <w:tcPr>
            <w:tcW w:w="154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C71215" w:rsidRPr="00581CD3" w:rsidRDefault="00581CD3" w:rsidP="00581CD3">
            <w:pPr>
              <w:pStyle w:val="TableParagraph"/>
              <w:tabs>
                <w:tab w:val="left" w:pos="5635"/>
                <w:tab w:val="left" w:pos="8899"/>
                <w:tab w:val="left" w:pos="12014"/>
              </w:tabs>
              <w:spacing w:before="10"/>
              <w:ind w:left="2520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color w:val="FFFFFF"/>
                <w:lang w:val="ru-RU"/>
              </w:rPr>
              <w:t>Нет случаев</w:t>
            </w:r>
            <w:r w:rsidR="00025A20" w:rsidRPr="00581CD3">
              <w:rPr>
                <w:rFonts w:ascii="Arial Narrow" w:hAnsi="Arial Narrow"/>
                <w:b/>
                <w:color w:val="FFFFFF"/>
                <w:lang w:val="ru-RU"/>
              </w:rPr>
              <w:tab/>
            </w:r>
            <w:r w:rsidRPr="00581CD3">
              <w:rPr>
                <w:rFonts w:ascii="Arial Narrow" w:hAnsi="Arial Narrow"/>
                <w:b/>
                <w:color w:val="FFFFFF"/>
                <w:lang w:val="ru-RU"/>
              </w:rPr>
              <w:t>Спорадические случаи</w:t>
            </w:r>
            <w:r w:rsidR="00025A20" w:rsidRPr="00581CD3">
              <w:rPr>
                <w:rFonts w:ascii="Arial Narrow" w:hAnsi="Arial Narrow"/>
                <w:b/>
                <w:color w:val="FFFFFF"/>
                <w:lang w:val="ru-RU"/>
              </w:rPr>
              <w:tab/>
            </w:r>
            <w:r w:rsidRPr="00581CD3">
              <w:rPr>
                <w:rFonts w:ascii="Arial Narrow" w:hAnsi="Arial Narrow"/>
                <w:b/>
                <w:color w:val="FFFFFF"/>
                <w:lang w:val="ru-RU"/>
              </w:rPr>
              <w:t>Кластеры случаев</w:t>
            </w:r>
            <w:r w:rsidR="00025A20" w:rsidRPr="00581CD3">
              <w:rPr>
                <w:rFonts w:ascii="Arial Narrow" w:hAnsi="Arial Narrow"/>
                <w:b/>
                <w:color w:val="FFFFFF"/>
                <w:lang w:val="ru-RU"/>
              </w:rPr>
              <w:tab/>
            </w:r>
            <w:r w:rsidRPr="00581CD3">
              <w:rPr>
                <w:rFonts w:ascii="Arial Narrow" w:hAnsi="Arial Narrow"/>
                <w:b/>
                <w:color w:val="FFFFFF"/>
                <w:lang w:val="ru-RU"/>
              </w:rPr>
              <w:t>Передача в обществе</w:t>
            </w:r>
          </w:p>
        </w:tc>
      </w:tr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1607"/>
        </w:trPr>
        <w:tc>
          <w:tcPr>
            <w:tcW w:w="2405" w:type="dxa"/>
            <w:gridSpan w:val="2"/>
            <w:tcBorders>
              <w:top w:val="nil"/>
            </w:tcBorders>
            <w:shd w:val="clear" w:color="auto" w:fill="DBE5F1"/>
          </w:tcPr>
          <w:p w:rsidR="00C71215" w:rsidRPr="00581CD3" w:rsidRDefault="00581CD3">
            <w:pPr>
              <w:pStyle w:val="TableParagraph"/>
              <w:spacing w:line="249" w:lineRule="exact"/>
              <w:rPr>
                <w:rFonts w:ascii="Arial Narrow" w:hAnsi="Arial Narrow"/>
                <w:b/>
              </w:rPr>
            </w:pPr>
            <w:r w:rsidRPr="00581CD3">
              <w:rPr>
                <w:rFonts w:ascii="Arial Narrow" w:hAnsi="Arial Narrow"/>
                <w:b/>
              </w:rPr>
              <w:t>Сценарий передачи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val="clear" w:color="auto" w:fill="DBE5F1"/>
          </w:tcPr>
          <w:p w:rsidR="00C71215" w:rsidRPr="00581CD3" w:rsidRDefault="00581CD3">
            <w:pPr>
              <w:pStyle w:val="TableParagraph"/>
              <w:spacing w:line="226" w:lineRule="exact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Нет случаев</w:t>
            </w:r>
          </w:p>
        </w:tc>
        <w:tc>
          <w:tcPr>
            <w:tcW w:w="3259" w:type="dxa"/>
            <w:gridSpan w:val="2"/>
            <w:tcBorders>
              <w:top w:val="nil"/>
            </w:tcBorders>
            <w:shd w:val="clear" w:color="auto" w:fill="DBE5F1"/>
          </w:tcPr>
          <w:p w:rsidR="00C71215" w:rsidRPr="00581CD3" w:rsidRDefault="00581CD3">
            <w:pPr>
              <w:pStyle w:val="TableParagraph"/>
              <w:ind w:left="105" w:right="602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Один или несколько случаев, импортированных или приобретенных на месте</w:t>
            </w:r>
          </w:p>
        </w:tc>
        <w:tc>
          <w:tcPr>
            <w:tcW w:w="3120" w:type="dxa"/>
            <w:tcBorders>
              <w:top w:val="nil"/>
            </w:tcBorders>
            <w:shd w:val="clear" w:color="auto" w:fill="DBE5F1"/>
          </w:tcPr>
          <w:p w:rsidR="00C71215" w:rsidRPr="00581CD3" w:rsidRDefault="00581CD3">
            <w:pPr>
              <w:pStyle w:val="TableParagraph"/>
              <w:ind w:right="380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Большинство случаев локальной передачи связаны с цепями передачи</w:t>
            </w:r>
          </w:p>
        </w:tc>
        <w:tc>
          <w:tcPr>
            <w:tcW w:w="3542" w:type="dxa"/>
            <w:gridSpan w:val="2"/>
            <w:tcBorders>
              <w:top w:val="nil"/>
            </w:tcBorders>
            <w:shd w:val="clear" w:color="auto" w:fill="DBE5F1"/>
          </w:tcPr>
          <w:p w:rsidR="00581CD3" w:rsidRPr="00581CD3" w:rsidRDefault="00581CD3" w:rsidP="00581CD3">
            <w:pPr>
              <w:pStyle w:val="TableParagraph"/>
              <w:ind w:left="105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Вспышки с невозможностью связать подтвержденные случаи с помощью цепочек передачи для большого числа случаев или путем увеличения количества положительных тестов с помощью дозорных образцов (обычное систематическое тестирование респираторных образцов от</w:t>
            </w:r>
          </w:p>
          <w:p w:rsidR="00C71215" w:rsidRPr="001C0E65" w:rsidRDefault="001C0E65" w:rsidP="00581CD3">
            <w:pPr>
              <w:pStyle w:val="TableParagraph"/>
              <w:ind w:left="105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</w:rPr>
              <w:t>лаборатори</w:t>
            </w:r>
            <w:r>
              <w:rPr>
                <w:rFonts w:ascii="Arial Narrow" w:hAnsi="Arial Narrow"/>
                <w:sz w:val="20"/>
                <w:lang w:val="ru-RU"/>
              </w:rPr>
              <w:t>й)</w:t>
            </w:r>
          </w:p>
        </w:tc>
      </w:tr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465"/>
        </w:trPr>
        <w:tc>
          <w:tcPr>
            <w:tcW w:w="2405" w:type="dxa"/>
            <w:gridSpan w:val="2"/>
          </w:tcPr>
          <w:p w:rsidR="00C71215" w:rsidRPr="00581CD3" w:rsidRDefault="0057627B">
            <w:pPr>
              <w:pStyle w:val="TableParagraph"/>
              <w:spacing w:before="1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Цель</w:t>
            </w:r>
          </w:p>
        </w:tc>
        <w:tc>
          <w:tcPr>
            <w:tcW w:w="3120" w:type="dxa"/>
            <w:gridSpan w:val="2"/>
          </w:tcPr>
          <w:p w:rsidR="00C71215" w:rsidRPr="00581CD3" w:rsidRDefault="00581CD3">
            <w:pPr>
              <w:pStyle w:val="TableParagraph"/>
              <w:spacing w:line="230" w:lineRule="atLeast"/>
              <w:ind w:right="563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Остановить передачу и предотвратить распространение</w:t>
            </w:r>
          </w:p>
        </w:tc>
        <w:tc>
          <w:tcPr>
            <w:tcW w:w="3259" w:type="dxa"/>
            <w:gridSpan w:val="2"/>
          </w:tcPr>
          <w:p w:rsidR="00C71215" w:rsidRPr="00581CD3" w:rsidRDefault="00581CD3">
            <w:pPr>
              <w:pStyle w:val="TableParagraph"/>
              <w:ind w:left="105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Остановить передачу и предотвратить распространение</w:t>
            </w:r>
          </w:p>
        </w:tc>
        <w:tc>
          <w:tcPr>
            <w:tcW w:w="3120" w:type="dxa"/>
          </w:tcPr>
          <w:p w:rsidR="00C71215" w:rsidRPr="00581CD3" w:rsidRDefault="00581CD3">
            <w:pPr>
              <w:pStyle w:val="TableParagraph"/>
              <w:spacing w:line="230" w:lineRule="atLeast"/>
              <w:ind w:right="563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Остановить передачу и предотвратить распространение</w:t>
            </w:r>
          </w:p>
        </w:tc>
        <w:tc>
          <w:tcPr>
            <w:tcW w:w="3542" w:type="dxa"/>
            <w:gridSpan w:val="2"/>
          </w:tcPr>
          <w:p w:rsidR="00C71215" w:rsidRPr="00581CD3" w:rsidRDefault="00581CD3">
            <w:pPr>
              <w:pStyle w:val="TableParagraph"/>
              <w:spacing w:line="230" w:lineRule="atLeast"/>
              <w:ind w:left="105" w:right="118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замедление передачи</w:t>
            </w:r>
            <w:r w:rsidRPr="00581CD3">
              <w:rPr>
                <w:rFonts w:ascii="Arial Narrow" w:hAnsi="Arial Narrow"/>
                <w:sz w:val="20"/>
                <w:lang w:val="ru-RU"/>
              </w:rPr>
              <w:t>, сокращение числа случаев, прекращение вспышек среди населения</w:t>
            </w:r>
          </w:p>
        </w:tc>
      </w:tr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254"/>
        </w:trPr>
        <w:tc>
          <w:tcPr>
            <w:tcW w:w="15446" w:type="dxa"/>
            <w:gridSpan w:val="9"/>
            <w:shd w:val="clear" w:color="auto" w:fill="DBE5F1"/>
          </w:tcPr>
          <w:p w:rsidR="00C71215" w:rsidRPr="00581CD3" w:rsidRDefault="0057627B">
            <w:pPr>
              <w:pStyle w:val="TableParagraph"/>
              <w:spacing w:before="1" w:line="233" w:lineRule="exact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Приоритетные направления работы</w:t>
            </w:r>
          </w:p>
        </w:tc>
      </w:tr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628"/>
        </w:trPr>
        <w:tc>
          <w:tcPr>
            <w:tcW w:w="2405" w:type="dxa"/>
            <w:gridSpan w:val="2"/>
          </w:tcPr>
          <w:p w:rsidR="00C71215" w:rsidRPr="00581CD3" w:rsidRDefault="00581CD3" w:rsidP="0057627B">
            <w:pPr>
              <w:pStyle w:val="TableParagraph"/>
              <w:spacing w:before="1"/>
              <w:ind w:left="20" w:right="8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Механизмы реагирования на чрезвычайные ситуации</w:t>
            </w:r>
          </w:p>
        </w:tc>
        <w:tc>
          <w:tcPr>
            <w:tcW w:w="3120" w:type="dxa"/>
            <w:gridSpan w:val="2"/>
          </w:tcPr>
          <w:p w:rsidR="00C71215" w:rsidRPr="00581CD3" w:rsidRDefault="00581CD3">
            <w:pPr>
              <w:pStyle w:val="TableParagraph"/>
              <w:ind w:right="625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Активировать механизмы реагирования на чрезвычайные ситуации</w:t>
            </w:r>
          </w:p>
        </w:tc>
        <w:tc>
          <w:tcPr>
            <w:tcW w:w="3259" w:type="dxa"/>
            <w:gridSpan w:val="2"/>
          </w:tcPr>
          <w:p w:rsidR="00C71215" w:rsidRPr="00581CD3" w:rsidRDefault="00581CD3">
            <w:pPr>
              <w:pStyle w:val="TableParagraph"/>
              <w:ind w:left="105" w:right="758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Усилить механизмы реагирования на чрезвычайные ситуации</w:t>
            </w:r>
          </w:p>
        </w:tc>
        <w:tc>
          <w:tcPr>
            <w:tcW w:w="3120" w:type="dxa"/>
          </w:tcPr>
          <w:p w:rsidR="00C71215" w:rsidRPr="00581CD3" w:rsidRDefault="00581CD3">
            <w:pPr>
              <w:pStyle w:val="TableParagraph"/>
              <w:ind w:right="619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Расширить механизм реагирования на чрезвычайные ситуации</w:t>
            </w:r>
          </w:p>
        </w:tc>
        <w:tc>
          <w:tcPr>
            <w:tcW w:w="3542" w:type="dxa"/>
            <w:gridSpan w:val="2"/>
          </w:tcPr>
          <w:p w:rsidR="00C71215" w:rsidRPr="00581CD3" w:rsidRDefault="00581CD3">
            <w:pPr>
              <w:pStyle w:val="TableParagraph"/>
              <w:ind w:left="105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Расширить механизм реагирования на чрезвычайные ситуации</w:t>
            </w:r>
          </w:p>
        </w:tc>
      </w:tr>
      <w:tr w:rsidR="00C71215" w:rsidRPr="00581CD3" w:rsidTr="00581CD3">
        <w:trPr>
          <w:gridBefore w:val="1"/>
          <w:gridAfter w:val="1"/>
          <w:wBefore w:w="8" w:type="dxa"/>
          <w:wAfter w:w="25" w:type="dxa"/>
          <w:trHeight w:val="1031"/>
        </w:trPr>
        <w:tc>
          <w:tcPr>
            <w:tcW w:w="2405" w:type="dxa"/>
            <w:gridSpan w:val="2"/>
            <w:shd w:val="clear" w:color="auto" w:fill="DBE5F1"/>
          </w:tcPr>
          <w:p w:rsidR="00C71215" w:rsidRPr="00581CD3" w:rsidRDefault="00581CD3" w:rsidP="0057627B">
            <w:pPr>
              <w:pStyle w:val="TableParagraph"/>
              <w:spacing w:before="1"/>
              <w:ind w:left="20" w:right="8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Информирование о рисках и участие общественности</w:t>
            </w:r>
          </w:p>
        </w:tc>
        <w:tc>
          <w:tcPr>
            <w:tcW w:w="3120" w:type="dxa"/>
            <w:gridSpan w:val="2"/>
            <w:shd w:val="clear" w:color="auto" w:fill="DBE5F1"/>
          </w:tcPr>
          <w:p w:rsidR="00C71215" w:rsidRPr="00581CD3" w:rsidRDefault="00581CD3">
            <w:pPr>
              <w:pStyle w:val="TableParagraph"/>
              <w:ind w:right="186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Обучать и активно общаться с общественностью через информирование о рисках и вовлечение сообщества</w:t>
            </w:r>
          </w:p>
        </w:tc>
        <w:tc>
          <w:tcPr>
            <w:tcW w:w="3259" w:type="dxa"/>
            <w:gridSpan w:val="2"/>
            <w:shd w:val="clear" w:color="auto" w:fill="DBE5F1"/>
          </w:tcPr>
          <w:p w:rsidR="00C71215" w:rsidRPr="00581CD3" w:rsidRDefault="00581CD3">
            <w:pPr>
              <w:pStyle w:val="TableParagraph"/>
              <w:ind w:left="105" w:right="330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Обучать и активно общаться с общественностью через информирование о рисках и вовлечение сообщества</w:t>
            </w:r>
          </w:p>
        </w:tc>
        <w:tc>
          <w:tcPr>
            <w:tcW w:w="3120" w:type="dxa"/>
            <w:shd w:val="clear" w:color="auto" w:fill="DBE5F1"/>
          </w:tcPr>
          <w:p w:rsidR="00C71215" w:rsidRPr="00581CD3" w:rsidRDefault="00581CD3">
            <w:pPr>
              <w:pStyle w:val="TableParagraph"/>
              <w:ind w:right="186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Обучать и активно общаться с общественностью через информирование о рисках и вовлечение сообщества</w:t>
            </w:r>
          </w:p>
        </w:tc>
        <w:tc>
          <w:tcPr>
            <w:tcW w:w="3542" w:type="dxa"/>
            <w:gridSpan w:val="2"/>
            <w:shd w:val="clear" w:color="auto" w:fill="DBE5F1"/>
          </w:tcPr>
          <w:p w:rsidR="00C71215" w:rsidRPr="00581CD3" w:rsidRDefault="00581CD3">
            <w:pPr>
              <w:pStyle w:val="TableParagraph"/>
              <w:ind w:left="105" w:right="208"/>
              <w:rPr>
                <w:rFonts w:ascii="Arial Narrow" w:hAnsi="Arial Narrow"/>
                <w:sz w:val="20"/>
                <w:lang w:val="ru-RU"/>
              </w:rPr>
            </w:pPr>
            <w:r w:rsidRPr="00581CD3">
              <w:rPr>
                <w:rFonts w:ascii="Arial Narrow" w:hAnsi="Arial Narrow"/>
                <w:sz w:val="20"/>
                <w:lang w:val="ru-RU"/>
              </w:rPr>
              <w:t>Обучать и активно общаться с общественностью через информирование о рисках и вовлечение сообщества</w:t>
            </w:r>
          </w:p>
        </w:tc>
      </w:tr>
      <w:tr w:rsidR="00581CD3" w:rsidRPr="00BF64ED" w:rsidTr="00581CD3">
        <w:trPr>
          <w:gridBefore w:val="1"/>
          <w:gridAfter w:val="1"/>
          <w:wBefore w:w="8" w:type="dxa"/>
          <w:wAfter w:w="25" w:type="dxa"/>
          <w:trHeight w:val="970"/>
        </w:trPr>
        <w:tc>
          <w:tcPr>
            <w:tcW w:w="2405" w:type="dxa"/>
            <w:gridSpan w:val="2"/>
            <w:tcBorders>
              <w:bottom w:val="nil"/>
            </w:tcBorders>
          </w:tcPr>
          <w:p w:rsidR="00581CD3" w:rsidRPr="00581CD3" w:rsidRDefault="00581CD3">
            <w:pPr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Обнаружение случаев, отслеживание контактов и управление</w:t>
            </w:r>
          </w:p>
        </w:tc>
        <w:tc>
          <w:tcPr>
            <w:tcW w:w="3120" w:type="dxa"/>
            <w:gridSpan w:val="2"/>
            <w:tcBorders>
              <w:bottom w:val="nil"/>
            </w:tcBorders>
          </w:tcPr>
          <w:p w:rsidR="00581CD3" w:rsidRPr="005A38EF" w:rsidRDefault="005A38EF" w:rsidP="00581CD3">
            <w:pPr>
              <w:pStyle w:val="TableParagraph"/>
              <w:spacing w:line="223" w:lineRule="exact"/>
              <w:rPr>
                <w:rFonts w:ascii="Arial Narrow" w:hAnsi="Arial Narrow"/>
                <w:sz w:val="20"/>
                <w:lang w:val="ru-RU"/>
              </w:rPr>
            </w:pPr>
            <w:r w:rsidRPr="005A38EF">
              <w:rPr>
                <w:rFonts w:ascii="Arial Narrow" w:hAnsi="Arial Narrow"/>
                <w:sz w:val="20"/>
                <w:lang w:val="ru-RU"/>
              </w:rPr>
              <w:t>Проводить активное выявление случаев, отслеживание контактов и мониторинг; карантин контактов и изоляция дел</w:t>
            </w:r>
          </w:p>
        </w:tc>
        <w:tc>
          <w:tcPr>
            <w:tcW w:w="3259" w:type="dxa"/>
            <w:gridSpan w:val="2"/>
            <w:tcBorders>
              <w:bottom w:val="nil"/>
            </w:tcBorders>
          </w:tcPr>
          <w:p w:rsidR="00581CD3" w:rsidRPr="00BF64ED" w:rsidRDefault="00BF64ED">
            <w:pPr>
              <w:pStyle w:val="TableParagraph"/>
              <w:spacing w:line="223" w:lineRule="exact"/>
              <w:ind w:left="105"/>
              <w:rPr>
                <w:rFonts w:ascii="Arial Narrow" w:hAnsi="Arial Narrow"/>
                <w:sz w:val="20"/>
                <w:lang w:val="ru-RU"/>
              </w:rPr>
            </w:pPr>
            <w:r w:rsidRPr="00BF64ED">
              <w:rPr>
                <w:rFonts w:ascii="Arial Narrow" w:hAnsi="Arial Narrow"/>
                <w:sz w:val="20"/>
                <w:lang w:val="ru-RU"/>
              </w:rPr>
              <w:t>Улучшить активное выявление случаев, отслеживание контактов и мониторинг; карантин контактов и изоляция дел</w:t>
            </w:r>
          </w:p>
        </w:tc>
        <w:tc>
          <w:tcPr>
            <w:tcW w:w="3120" w:type="dxa"/>
            <w:tcBorders>
              <w:bottom w:val="nil"/>
            </w:tcBorders>
          </w:tcPr>
          <w:p w:rsidR="00581CD3" w:rsidRPr="00BF64ED" w:rsidRDefault="00BF64ED">
            <w:pPr>
              <w:pStyle w:val="TableParagraph"/>
              <w:spacing w:line="223" w:lineRule="exact"/>
              <w:rPr>
                <w:rFonts w:ascii="Arial Narrow" w:hAnsi="Arial Narrow"/>
                <w:sz w:val="20"/>
                <w:lang w:val="ru-RU"/>
              </w:rPr>
            </w:pPr>
            <w:r w:rsidRPr="00BF64ED">
              <w:rPr>
                <w:rFonts w:ascii="Arial Narrow" w:hAnsi="Arial Narrow"/>
                <w:sz w:val="20"/>
                <w:lang w:val="ru-RU"/>
              </w:rPr>
              <w:t>Активизировать выявление случаев, отслеживание контактов, мониторинг, карантин контактов и изоляцию случаев;</w:t>
            </w:r>
          </w:p>
        </w:tc>
        <w:tc>
          <w:tcPr>
            <w:tcW w:w="3542" w:type="dxa"/>
            <w:gridSpan w:val="2"/>
            <w:tcBorders>
              <w:bottom w:val="nil"/>
            </w:tcBorders>
          </w:tcPr>
          <w:p w:rsidR="00581CD3" w:rsidRPr="00BF64ED" w:rsidRDefault="00610083" w:rsidP="00C81B14">
            <w:pPr>
              <w:pStyle w:val="TableParagraph"/>
              <w:spacing w:line="214" w:lineRule="exact"/>
              <w:ind w:left="105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О</w:t>
            </w:r>
            <w:r w:rsidR="00BF64ED" w:rsidRPr="00BF64ED">
              <w:rPr>
                <w:rFonts w:ascii="Arial Narrow" w:hAnsi="Arial Narrow"/>
                <w:sz w:val="20"/>
                <w:lang w:val="ru-RU"/>
              </w:rPr>
              <w:t>собенно в новых зараженных районах, карантин контактов и изоляция случаев; применять самостоятельную изоляцию для лиц с симптомами</w:t>
            </w:r>
          </w:p>
        </w:tc>
      </w:tr>
      <w:tr w:rsidR="00581CD3" w:rsidRPr="00287963" w:rsidTr="00581CD3">
        <w:trPr>
          <w:gridBefore w:val="1"/>
          <w:gridAfter w:val="1"/>
          <w:wBefore w:w="8" w:type="dxa"/>
          <w:wAfter w:w="25" w:type="dxa"/>
          <w:trHeight w:val="945"/>
        </w:trPr>
        <w:tc>
          <w:tcPr>
            <w:tcW w:w="2405" w:type="dxa"/>
            <w:gridSpan w:val="2"/>
            <w:shd w:val="clear" w:color="auto" w:fill="DBE5F1"/>
          </w:tcPr>
          <w:p w:rsidR="00581CD3" w:rsidRPr="00581CD3" w:rsidRDefault="00581CD3" w:rsidP="0057627B">
            <w:pPr>
              <w:pStyle w:val="TableParagraph"/>
              <w:spacing w:before="1"/>
              <w:ind w:left="20" w:right="88"/>
              <w:rPr>
                <w:rFonts w:ascii="Arial Narrow" w:hAnsi="Arial Narrow"/>
                <w:b/>
                <w:lang w:val="ru-RU"/>
              </w:rPr>
            </w:pPr>
            <w:r>
              <w:rPr>
                <w:rFonts w:ascii="Arial Narrow" w:hAnsi="Arial Narrow"/>
                <w:b/>
                <w:lang w:val="ru-RU"/>
              </w:rPr>
              <w:t>Наблюдение</w:t>
            </w:r>
          </w:p>
        </w:tc>
        <w:tc>
          <w:tcPr>
            <w:tcW w:w="3120" w:type="dxa"/>
            <w:gridSpan w:val="2"/>
            <w:shd w:val="clear" w:color="auto" w:fill="DBE5F1"/>
          </w:tcPr>
          <w:p w:rsidR="00581CD3" w:rsidRPr="00287963" w:rsidRDefault="00287963">
            <w:pPr>
              <w:pStyle w:val="TableParagraph"/>
              <w:ind w:right="241"/>
              <w:rPr>
                <w:rFonts w:ascii="Arial Narrow" w:hAnsi="Arial Narrow"/>
                <w:sz w:val="20"/>
                <w:lang w:val="ru-RU"/>
              </w:rPr>
            </w:pPr>
            <w:r w:rsidRPr="00287963">
              <w:rPr>
                <w:rFonts w:ascii="Arial Narrow" w:hAnsi="Arial Narrow"/>
                <w:sz w:val="20"/>
                <w:lang w:val="ru-RU"/>
              </w:rPr>
              <w:t xml:space="preserve">Рассмотреть возможность тестирования на </w:t>
            </w:r>
            <w:r w:rsidRPr="00287963">
              <w:rPr>
                <w:rFonts w:ascii="Arial Narrow" w:hAnsi="Arial Narrow"/>
                <w:sz w:val="20"/>
              </w:rPr>
              <w:t>COVID</w:t>
            </w:r>
            <w:r w:rsidRPr="00287963">
              <w:rPr>
                <w:rFonts w:ascii="Arial Narrow" w:hAnsi="Arial Narrow"/>
                <w:sz w:val="20"/>
                <w:lang w:val="ru-RU"/>
              </w:rPr>
              <w:t>-19 с использованием существующих систем эпиднадзора за респираторными заболеваниями и надзора в больницах.</w:t>
            </w:r>
          </w:p>
        </w:tc>
        <w:tc>
          <w:tcPr>
            <w:tcW w:w="3259" w:type="dxa"/>
            <w:gridSpan w:val="2"/>
            <w:shd w:val="clear" w:color="auto" w:fill="DBE5F1"/>
          </w:tcPr>
          <w:p w:rsidR="00581CD3" w:rsidRPr="00287963" w:rsidRDefault="00287963">
            <w:pPr>
              <w:pStyle w:val="TableParagraph"/>
              <w:ind w:left="105" w:right="291"/>
              <w:rPr>
                <w:rFonts w:ascii="Arial Narrow" w:hAnsi="Arial Narrow"/>
                <w:sz w:val="20"/>
                <w:lang w:val="ru-RU"/>
              </w:rPr>
            </w:pPr>
            <w:r w:rsidRPr="00287963">
              <w:rPr>
                <w:rFonts w:ascii="Arial Narrow" w:hAnsi="Arial Narrow"/>
                <w:sz w:val="20"/>
                <w:lang w:val="ru-RU"/>
              </w:rPr>
              <w:t xml:space="preserve">Осуществить эпиднадзор за </w:t>
            </w:r>
            <w:r w:rsidRPr="00287963">
              <w:rPr>
                <w:rFonts w:ascii="Arial Narrow" w:hAnsi="Arial Narrow"/>
                <w:sz w:val="20"/>
              </w:rPr>
              <w:t>COVID</w:t>
            </w:r>
            <w:r w:rsidRPr="00287963">
              <w:rPr>
                <w:rFonts w:ascii="Arial Narrow" w:hAnsi="Arial Narrow"/>
                <w:sz w:val="20"/>
                <w:lang w:val="ru-RU"/>
              </w:rPr>
              <w:t>-19 с использованием существующих систем эпиднадзора за респираторными заболеваниями и надзора в больницах</w:t>
            </w:r>
          </w:p>
        </w:tc>
        <w:tc>
          <w:tcPr>
            <w:tcW w:w="3120" w:type="dxa"/>
            <w:shd w:val="clear" w:color="auto" w:fill="DBE5F1"/>
          </w:tcPr>
          <w:p w:rsidR="00581CD3" w:rsidRPr="00287963" w:rsidRDefault="00287963">
            <w:pPr>
              <w:pStyle w:val="TableParagraph"/>
              <w:ind w:right="241"/>
              <w:rPr>
                <w:rFonts w:ascii="Arial Narrow" w:hAnsi="Arial Narrow"/>
                <w:sz w:val="20"/>
                <w:lang w:val="ru-RU"/>
              </w:rPr>
            </w:pPr>
            <w:r w:rsidRPr="00287963">
              <w:rPr>
                <w:rFonts w:ascii="Arial Narrow" w:hAnsi="Arial Narrow"/>
                <w:sz w:val="20"/>
                <w:lang w:val="ru-RU"/>
              </w:rPr>
              <w:t xml:space="preserve">Расширить эпиднадзор за </w:t>
            </w:r>
            <w:r w:rsidRPr="00287963">
              <w:rPr>
                <w:rFonts w:ascii="Arial Narrow" w:hAnsi="Arial Narrow"/>
                <w:sz w:val="20"/>
              </w:rPr>
              <w:t>COVID</w:t>
            </w:r>
            <w:r w:rsidRPr="00287963">
              <w:rPr>
                <w:rFonts w:ascii="Arial Narrow" w:hAnsi="Arial Narrow"/>
                <w:sz w:val="20"/>
                <w:lang w:val="ru-RU"/>
              </w:rPr>
              <w:t>-19, используя существующие системы эпиднадзора за респираторными заболеваниями и надзор в больницах</w:t>
            </w:r>
          </w:p>
        </w:tc>
        <w:tc>
          <w:tcPr>
            <w:tcW w:w="3542" w:type="dxa"/>
            <w:gridSpan w:val="2"/>
            <w:shd w:val="clear" w:color="auto" w:fill="DBE5F1"/>
          </w:tcPr>
          <w:p w:rsidR="00581CD3" w:rsidRPr="00287963" w:rsidRDefault="00287963">
            <w:pPr>
              <w:pStyle w:val="TableParagraph"/>
              <w:ind w:left="105" w:right="329"/>
              <w:rPr>
                <w:rFonts w:ascii="Arial Narrow" w:hAnsi="Arial Narrow"/>
                <w:sz w:val="20"/>
                <w:lang w:val="ru-RU"/>
              </w:rPr>
            </w:pPr>
            <w:r w:rsidRPr="00287963">
              <w:rPr>
                <w:rFonts w:ascii="Arial Narrow" w:hAnsi="Arial Narrow"/>
                <w:sz w:val="20"/>
                <w:lang w:val="ru-RU"/>
              </w:rPr>
              <w:t>Адаптировать существующие системы эпиднадзора для мониторинга активности заболевания (например, через дозорные участки)</w:t>
            </w:r>
          </w:p>
        </w:tc>
      </w:tr>
      <w:tr w:rsidR="00DD301F" w:rsidRPr="00DD301F" w:rsidTr="00581CD3">
        <w:trPr>
          <w:gridBefore w:val="1"/>
          <w:gridAfter w:val="1"/>
          <w:wBefore w:w="8" w:type="dxa"/>
          <w:wAfter w:w="25" w:type="dxa"/>
          <w:trHeight w:val="546"/>
        </w:trPr>
        <w:tc>
          <w:tcPr>
            <w:tcW w:w="2405" w:type="dxa"/>
            <w:gridSpan w:val="2"/>
          </w:tcPr>
          <w:p w:rsidR="00DD301F" w:rsidRPr="00581CD3" w:rsidRDefault="00DD301F" w:rsidP="0057627B">
            <w:pPr>
              <w:pStyle w:val="TableParagraph"/>
              <w:ind w:left="20" w:right="8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Меры в</w:t>
            </w:r>
            <w:r>
              <w:rPr>
                <w:rFonts w:ascii="Arial Narrow" w:hAnsi="Arial Narrow"/>
                <w:b/>
                <w:lang w:val="ru-RU"/>
              </w:rPr>
              <w:t xml:space="preserve"> </w:t>
            </w:r>
            <w:r w:rsidRPr="00581CD3">
              <w:rPr>
                <w:rFonts w:ascii="Arial Narrow" w:hAnsi="Arial Narrow"/>
                <w:b/>
                <w:lang w:val="ru-RU"/>
              </w:rPr>
              <w:t>общественном здравоохранении</w:t>
            </w:r>
          </w:p>
        </w:tc>
        <w:tc>
          <w:tcPr>
            <w:tcW w:w="3120" w:type="dxa"/>
            <w:gridSpan w:val="2"/>
          </w:tcPr>
          <w:p w:rsidR="00DD301F" w:rsidRPr="00DD301F" w:rsidRDefault="00DD301F">
            <w:pPr>
              <w:pStyle w:val="TableParagraph"/>
              <w:ind w:right="108"/>
              <w:rPr>
                <w:rFonts w:ascii="Arial Narrow" w:hAnsi="Arial Narrow"/>
                <w:lang w:val="ru-RU"/>
              </w:rPr>
            </w:pPr>
            <w:r w:rsidRPr="00DD301F">
              <w:rPr>
                <w:rFonts w:ascii="Arial Narrow" w:hAnsi="Arial Narrow"/>
                <w:lang w:val="ru-RU"/>
              </w:rPr>
              <w:t>Гигиена рук, дыхательный этикет, практика социального дистанцирования</w:t>
            </w:r>
          </w:p>
        </w:tc>
        <w:tc>
          <w:tcPr>
            <w:tcW w:w="3259" w:type="dxa"/>
            <w:gridSpan w:val="2"/>
          </w:tcPr>
          <w:p w:rsidR="00DD301F" w:rsidRPr="00DD301F" w:rsidRDefault="00DD301F">
            <w:pPr>
              <w:pStyle w:val="TableParagraph"/>
              <w:ind w:left="105" w:right="252"/>
              <w:rPr>
                <w:rFonts w:ascii="Arial Narrow" w:hAnsi="Arial Narrow"/>
                <w:lang w:val="ru-RU"/>
              </w:rPr>
            </w:pPr>
            <w:r w:rsidRPr="00DD301F">
              <w:rPr>
                <w:rFonts w:ascii="Arial Narrow" w:hAnsi="Arial Narrow"/>
                <w:lang w:val="ru-RU"/>
              </w:rPr>
              <w:t>Гигиена рук, дыхательный этикет, практика социального дистанцирования</w:t>
            </w:r>
          </w:p>
        </w:tc>
        <w:tc>
          <w:tcPr>
            <w:tcW w:w="3120" w:type="dxa"/>
          </w:tcPr>
          <w:p w:rsidR="00DD301F" w:rsidRPr="00DD301F" w:rsidRDefault="00DD301F">
            <w:pPr>
              <w:rPr>
                <w:rFonts w:ascii="Arial Narrow" w:hAnsi="Arial Narrow"/>
                <w:lang w:val="ru-RU"/>
              </w:rPr>
            </w:pPr>
            <w:r w:rsidRPr="00DD301F">
              <w:rPr>
                <w:rFonts w:ascii="Arial Narrow" w:hAnsi="Arial Narrow"/>
                <w:lang w:val="ru-RU"/>
              </w:rPr>
              <w:t>Гигиена рук, дыхательный этикет, практика социального дистанцирования</w:t>
            </w:r>
          </w:p>
        </w:tc>
        <w:tc>
          <w:tcPr>
            <w:tcW w:w="3542" w:type="dxa"/>
            <w:gridSpan w:val="2"/>
          </w:tcPr>
          <w:p w:rsidR="00DD301F" w:rsidRPr="00DD301F" w:rsidRDefault="00DD301F">
            <w:pPr>
              <w:rPr>
                <w:rFonts w:ascii="Arial Narrow" w:hAnsi="Arial Narrow"/>
                <w:lang w:val="ru-RU"/>
              </w:rPr>
            </w:pPr>
            <w:r w:rsidRPr="00DD301F">
              <w:rPr>
                <w:rFonts w:ascii="Arial Narrow" w:hAnsi="Arial Narrow"/>
                <w:lang w:val="ru-RU"/>
              </w:rPr>
              <w:t>Гигиена рук, дыхательный этикет, практика социального дистанцирования</w:t>
            </w:r>
          </w:p>
        </w:tc>
      </w:tr>
      <w:tr w:rsidR="00F01829" w:rsidRPr="00DD301F" w:rsidTr="00581CD3">
        <w:trPr>
          <w:gridBefore w:val="1"/>
          <w:gridAfter w:val="1"/>
          <w:wBefore w:w="8" w:type="dxa"/>
          <w:wAfter w:w="25" w:type="dxa"/>
          <w:trHeight w:val="546"/>
        </w:trPr>
        <w:tc>
          <w:tcPr>
            <w:tcW w:w="2405" w:type="dxa"/>
            <w:gridSpan w:val="2"/>
          </w:tcPr>
          <w:p w:rsidR="00F01829" w:rsidRPr="00581CD3" w:rsidRDefault="00F01829" w:rsidP="00894E74">
            <w:pPr>
              <w:pStyle w:val="TableParagraph"/>
              <w:ind w:left="20" w:right="8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Лабораторное тестирование</w:t>
            </w:r>
          </w:p>
        </w:tc>
        <w:tc>
          <w:tcPr>
            <w:tcW w:w="3120" w:type="dxa"/>
            <w:gridSpan w:val="2"/>
          </w:tcPr>
          <w:p w:rsidR="00F01829" w:rsidRPr="00BA7C9A" w:rsidRDefault="00F01829" w:rsidP="00894E74">
            <w:pPr>
              <w:rPr>
                <w:rFonts w:ascii="Arial Narrow" w:hAnsi="Arial Narrow"/>
                <w:lang w:val="ru-RU"/>
              </w:rPr>
            </w:pPr>
            <w:r w:rsidRPr="00BA7C9A">
              <w:rPr>
                <w:rFonts w:ascii="Arial Narrow" w:hAnsi="Arial Narrow"/>
                <w:lang w:val="ru-RU"/>
              </w:rPr>
              <w:t xml:space="preserve">Тестировать подозрительные случаи по определению ВОЗ, контакты подтвержденных случаев; тестировать пациентов, выявленных с помощью </w:t>
            </w:r>
            <w:r w:rsidRPr="00BA7C9A">
              <w:rPr>
                <w:rFonts w:ascii="Arial Narrow" w:hAnsi="Arial Narrow"/>
                <w:lang w:val="ru-RU"/>
              </w:rPr>
              <w:lastRenderedPageBreak/>
              <w:t>респираторных заболеваний</w:t>
            </w:r>
          </w:p>
        </w:tc>
        <w:tc>
          <w:tcPr>
            <w:tcW w:w="3259" w:type="dxa"/>
            <w:gridSpan w:val="2"/>
          </w:tcPr>
          <w:p w:rsidR="00F01829" w:rsidRPr="00BA7C9A" w:rsidRDefault="00F01829" w:rsidP="00894E74">
            <w:pPr>
              <w:rPr>
                <w:rFonts w:ascii="Arial Narrow" w:hAnsi="Arial Narrow"/>
                <w:lang w:val="ru-RU"/>
              </w:rPr>
            </w:pPr>
            <w:r w:rsidRPr="00BA7C9A">
              <w:rPr>
                <w:rFonts w:ascii="Arial Narrow" w:hAnsi="Arial Narrow"/>
                <w:lang w:val="ru-RU"/>
              </w:rPr>
              <w:lastRenderedPageBreak/>
              <w:t xml:space="preserve">Тестировать подозрительные случаи по определению ВОЗ, контакты подтвержденных случаев; тестировать пациентов, выявленных с помощью респираторных </w:t>
            </w:r>
            <w:r w:rsidRPr="00BA7C9A">
              <w:rPr>
                <w:rFonts w:ascii="Arial Narrow" w:hAnsi="Arial Narrow"/>
                <w:lang w:val="ru-RU"/>
              </w:rPr>
              <w:lastRenderedPageBreak/>
              <w:t>заболеваний</w:t>
            </w:r>
          </w:p>
        </w:tc>
        <w:tc>
          <w:tcPr>
            <w:tcW w:w="3120" w:type="dxa"/>
          </w:tcPr>
          <w:p w:rsidR="00F01829" w:rsidRPr="00BA7C9A" w:rsidRDefault="00F01829" w:rsidP="00894E74">
            <w:pPr>
              <w:rPr>
                <w:rFonts w:ascii="Arial Narrow" w:hAnsi="Arial Narrow"/>
                <w:lang w:val="ru-RU"/>
              </w:rPr>
            </w:pPr>
            <w:r w:rsidRPr="00BA7C9A">
              <w:rPr>
                <w:rFonts w:ascii="Arial Narrow" w:hAnsi="Arial Narrow"/>
                <w:lang w:val="ru-RU"/>
              </w:rPr>
              <w:lastRenderedPageBreak/>
              <w:t xml:space="preserve">Тестировать подозрительные случаи по определению ВОЗ, контакты подтвержденных случаев; тестировать пациентов, выявленных с помощью </w:t>
            </w:r>
            <w:r w:rsidRPr="00BA7C9A">
              <w:rPr>
                <w:rFonts w:ascii="Arial Narrow" w:hAnsi="Arial Narrow"/>
                <w:lang w:val="ru-RU"/>
              </w:rPr>
              <w:lastRenderedPageBreak/>
              <w:t>респираторных заболеваний</w:t>
            </w:r>
          </w:p>
        </w:tc>
        <w:tc>
          <w:tcPr>
            <w:tcW w:w="3542" w:type="dxa"/>
            <w:gridSpan w:val="2"/>
          </w:tcPr>
          <w:p w:rsidR="00F01829" w:rsidRPr="00766089" w:rsidRDefault="00F01829" w:rsidP="00894E74">
            <w:pPr>
              <w:pStyle w:val="TableParagraph"/>
              <w:spacing w:line="230" w:lineRule="atLeast"/>
              <w:ind w:left="105" w:right="207"/>
              <w:rPr>
                <w:rFonts w:ascii="Arial Narrow" w:hAnsi="Arial Narrow"/>
                <w:sz w:val="20"/>
                <w:lang w:val="ru-RU"/>
              </w:rPr>
            </w:pPr>
            <w:r w:rsidRPr="00766089">
              <w:rPr>
                <w:rFonts w:ascii="Arial Narrow" w:hAnsi="Arial Narrow"/>
                <w:sz w:val="20"/>
                <w:lang w:val="ru-RU"/>
              </w:rPr>
              <w:lastRenderedPageBreak/>
              <w:t>Тестировать подозрительные случаи в соответствии с определением ВОЗ и симптоматическими контактами вероятных / под</w:t>
            </w:r>
            <w:r>
              <w:rPr>
                <w:rFonts w:ascii="Arial Narrow" w:hAnsi="Arial Narrow"/>
                <w:sz w:val="20"/>
                <w:lang w:val="ru-RU"/>
              </w:rPr>
              <w:t xml:space="preserve">твержденных случаев; тестировать пациентов, выявленных </w:t>
            </w:r>
            <w:r w:rsidRPr="00766089">
              <w:rPr>
                <w:rFonts w:ascii="Arial Narrow" w:hAnsi="Arial Narrow"/>
                <w:sz w:val="20"/>
                <w:lang w:val="ru-RU"/>
              </w:rPr>
              <w:t xml:space="preserve">с помощью респираторных заболеваний. </w:t>
            </w:r>
            <w:r w:rsidRPr="00766089">
              <w:rPr>
                <w:rFonts w:ascii="Arial Narrow" w:hAnsi="Arial Narrow"/>
                <w:sz w:val="20"/>
                <w:lang w:val="ru-RU"/>
              </w:rPr>
              <w:lastRenderedPageBreak/>
              <w:t xml:space="preserve">Если возможности тестирования </w:t>
            </w:r>
            <w:r>
              <w:rPr>
                <w:rFonts w:ascii="Arial Narrow" w:hAnsi="Arial Narrow"/>
                <w:sz w:val="20"/>
                <w:lang w:val="ru-RU"/>
              </w:rPr>
              <w:t>ограничены</w:t>
            </w:r>
            <w:r w:rsidR="00610083">
              <w:rPr>
                <w:rFonts w:ascii="Arial Narrow" w:hAnsi="Arial Narrow"/>
                <w:sz w:val="20"/>
                <w:lang w:val="ru-RU"/>
              </w:rPr>
              <w:t xml:space="preserve">, расставить </w:t>
            </w:r>
            <w:r w:rsidRPr="00766089">
              <w:rPr>
                <w:rFonts w:ascii="Arial Narrow" w:hAnsi="Arial Narrow"/>
                <w:sz w:val="20"/>
                <w:lang w:val="ru-RU"/>
              </w:rPr>
              <w:t xml:space="preserve">приоритеты тестирования в медицинских учреждениях и уязвимых группах. В закрытых </w:t>
            </w:r>
            <w:r>
              <w:rPr>
                <w:rFonts w:ascii="Arial Narrow" w:hAnsi="Arial Narrow"/>
                <w:sz w:val="20"/>
                <w:lang w:val="ru-RU"/>
              </w:rPr>
              <w:t>юнитах</w:t>
            </w:r>
            <w:r w:rsidRPr="00766089">
              <w:rPr>
                <w:rFonts w:ascii="Arial Narrow" w:hAnsi="Arial Narrow"/>
                <w:sz w:val="20"/>
                <w:lang w:val="ru-RU"/>
              </w:rPr>
              <w:t xml:space="preserve"> тестируют только первые подозрительные случаи с симптомами.</w:t>
            </w:r>
          </w:p>
        </w:tc>
      </w:tr>
      <w:tr w:rsidR="00F01829" w:rsidRPr="00756425" w:rsidTr="00756425">
        <w:trPr>
          <w:trHeight w:val="945"/>
        </w:trPr>
        <w:tc>
          <w:tcPr>
            <w:tcW w:w="2405" w:type="dxa"/>
            <w:gridSpan w:val="2"/>
          </w:tcPr>
          <w:p w:rsidR="00F01829" w:rsidRPr="00581CD3" w:rsidRDefault="00F01829" w:rsidP="00581CD3">
            <w:pPr>
              <w:pStyle w:val="TableParagraph"/>
              <w:spacing w:before="1"/>
              <w:ind w:left="2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lastRenderedPageBreak/>
              <w:t>Управление случаями</w:t>
            </w:r>
          </w:p>
        </w:tc>
        <w:tc>
          <w:tcPr>
            <w:tcW w:w="3120" w:type="dxa"/>
            <w:gridSpan w:val="2"/>
          </w:tcPr>
          <w:p w:rsidR="00F01829" w:rsidRPr="00756425" w:rsidRDefault="00F01829" w:rsidP="00BD0D34">
            <w:pPr>
              <w:pStyle w:val="TableParagraph"/>
              <w:ind w:right="475"/>
              <w:rPr>
                <w:rFonts w:ascii="Arial Narrow" w:hAnsi="Arial Narrow"/>
                <w:sz w:val="20"/>
                <w:lang w:val="ru-RU"/>
              </w:rPr>
            </w:pPr>
            <w:r w:rsidRPr="00756425">
              <w:rPr>
                <w:rFonts w:ascii="Arial Narrow" w:hAnsi="Arial Narrow"/>
                <w:sz w:val="20"/>
                <w:lang w:val="ru-RU"/>
              </w:rPr>
              <w:t xml:space="preserve">Подготовка к лечению пациентов, </w:t>
            </w:r>
            <w:r w:rsidR="00BD0D34">
              <w:rPr>
                <w:rFonts w:ascii="Arial Narrow" w:hAnsi="Arial Narrow"/>
                <w:sz w:val="20"/>
                <w:lang w:val="ru-RU"/>
              </w:rPr>
              <w:t xml:space="preserve">подготовка больниц </w:t>
            </w:r>
            <w:r w:rsidRPr="00756425">
              <w:rPr>
                <w:rFonts w:ascii="Arial Narrow" w:hAnsi="Arial Narrow"/>
                <w:sz w:val="20"/>
                <w:lang w:val="ru-RU"/>
              </w:rPr>
              <w:t>для потенциального всплеска</w:t>
            </w:r>
          </w:p>
        </w:tc>
        <w:tc>
          <w:tcPr>
            <w:tcW w:w="3259" w:type="dxa"/>
            <w:gridSpan w:val="2"/>
          </w:tcPr>
          <w:p w:rsidR="00F01829" w:rsidRPr="00756425" w:rsidRDefault="00BD0D34" w:rsidP="00BD0D34">
            <w:pPr>
              <w:pStyle w:val="TableParagraph"/>
              <w:ind w:left="105" w:right="152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лечение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пациентов и </w:t>
            </w:r>
            <w:r>
              <w:rPr>
                <w:rFonts w:ascii="Arial Narrow" w:hAnsi="Arial Narrow"/>
                <w:sz w:val="20"/>
                <w:lang w:val="ru-RU"/>
              </w:rPr>
              <w:t>подготовка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больниц к </w:t>
            </w:r>
            <w:r>
              <w:rPr>
                <w:rFonts w:ascii="Arial Narrow" w:hAnsi="Arial Narrow"/>
                <w:sz w:val="20"/>
                <w:lang w:val="ru-RU"/>
              </w:rPr>
              <w:t>всплеску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; </w:t>
            </w:r>
            <w:r>
              <w:rPr>
                <w:rFonts w:ascii="Arial Narrow" w:hAnsi="Arial Narrow"/>
                <w:sz w:val="20"/>
                <w:lang w:val="ru-RU"/>
              </w:rPr>
              <w:t>разработка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процедуры сортировки</w:t>
            </w:r>
          </w:p>
        </w:tc>
        <w:tc>
          <w:tcPr>
            <w:tcW w:w="3151" w:type="dxa"/>
            <w:gridSpan w:val="3"/>
          </w:tcPr>
          <w:p w:rsidR="00F01829" w:rsidRPr="00756425" w:rsidRDefault="00BD0D34" w:rsidP="00BD0D34">
            <w:pPr>
              <w:pStyle w:val="TableParagraph"/>
              <w:ind w:right="136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лечение</w:t>
            </w:r>
            <w:r w:rsidRPr="00756425">
              <w:rPr>
                <w:rFonts w:ascii="Arial Narrow" w:hAnsi="Arial Narrow"/>
                <w:sz w:val="20"/>
                <w:lang w:val="ru-RU"/>
              </w:rPr>
              <w:t xml:space="preserve"> пациентов и </w:t>
            </w:r>
            <w:r>
              <w:rPr>
                <w:rFonts w:ascii="Arial Narrow" w:hAnsi="Arial Narrow"/>
                <w:sz w:val="20"/>
                <w:lang w:val="ru-RU"/>
              </w:rPr>
              <w:t>подготовка</w:t>
            </w:r>
            <w:r w:rsidRPr="00756425">
              <w:rPr>
                <w:rFonts w:ascii="Arial Narrow" w:hAnsi="Arial Narrow"/>
                <w:sz w:val="20"/>
                <w:lang w:val="ru-RU"/>
              </w:rPr>
              <w:t xml:space="preserve"> больниц к </w:t>
            </w:r>
            <w:r>
              <w:rPr>
                <w:rFonts w:ascii="Arial Narrow" w:hAnsi="Arial Narrow"/>
                <w:sz w:val="20"/>
                <w:lang w:val="ru-RU"/>
              </w:rPr>
              <w:t xml:space="preserve">всплеску; улучшение 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>процедур</w:t>
            </w:r>
            <w:r>
              <w:rPr>
                <w:rFonts w:ascii="Arial Narrow" w:hAnsi="Arial Narrow"/>
                <w:sz w:val="20"/>
                <w:lang w:val="ru-RU"/>
              </w:rPr>
              <w:t xml:space="preserve"> сортировки; активизация планов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повышения </w:t>
            </w:r>
            <w:r>
              <w:rPr>
                <w:rFonts w:ascii="Arial Narrow" w:hAnsi="Arial Narrow"/>
                <w:sz w:val="20"/>
                <w:lang w:val="ru-RU"/>
              </w:rPr>
              <w:t>готовности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для медицинских учреждений</w:t>
            </w:r>
          </w:p>
        </w:tc>
        <w:tc>
          <w:tcPr>
            <w:tcW w:w="3544" w:type="dxa"/>
            <w:gridSpan w:val="2"/>
          </w:tcPr>
          <w:p w:rsidR="00F01829" w:rsidRPr="00756425" w:rsidRDefault="00BD0D34" w:rsidP="00BD0D34">
            <w:pPr>
              <w:pStyle w:val="TableParagraph"/>
              <w:ind w:left="105" w:right="109"/>
              <w:rPr>
                <w:rFonts w:ascii="Arial Narrow" w:hAnsi="Arial Narrow"/>
                <w:sz w:val="20"/>
                <w:lang w:val="ru-RU"/>
              </w:rPr>
            </w:pPr>
            <w:r>
              <w:rPr>
                <w:rFonts w:ascii="Arial Narrow" w:hAnsi="Arial Narrow"/>
                <w:sz w:val="20"/>
                <w:lang w:val="ru-RU"/>
              </w:rPr>
              <w:t>Расстановка приоритетов по уходу и активации сортировки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>. Масш</w:t>
            </w:r>
            <w:r>
              <w:rPr>
                <w:rFonts w:ascii="Arial Narrow" w:hAnsi="Arial Narrow"/>
                <w:sz w:val="20"/>
                <w:lang w:val="ru-RU"/>
              </w:rPr>
              <w:t>табирование планов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повышения </w:t>
            </w:r>
            <w:r>
              <w:rPr>
                <w:rFonts w:ascii="Arial Narrow" w:hAnsi="Arial Narrow"/>
                <w:sz w:val="20"/>
                <w:lang w:val="ru-RU"/>
              </w:rPr>
              <w:t>готовности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в медицинских учреждениях (назначить </w:t>
            </w:r>
            <w:r>
              <w:rPr>
                <w:rFonts w:ascii="Arial Narrow" w:hAnsi="Arial Narrow"/>
                <w:sz w:val="20"/>
                <w:lang w:val="ru-RU"/>
              </w:rPr>
              <w:t>ответственные</w:t>
            </w:r>
            <w:r w:rsidR="00F01829" w:rsidRPr="00756425">
              <w:rPr>
                <w:rFonts w:ascii="Arial Narrow" w:hAnsi="Arial Narrow"/>
                <w:sz w:val="20"/>
                <w:lang w:val="ru-RU"/>
              </w:rPr>
              <w:t xml:space="preserve"> больницы, отложить выборочные процедуры)</w:t>
            </w:r>
          </w:p>
        </w:tc>
      </w:tr>
      <w:tr w:rsidR="00F01829" w:rsidRPr="00756425" w:rsidTr="00756425">
        <w:trPr>
          <w:trHeight w:val="921"/>
        </w:trPr>
        <w:tc>
          <w:tcPr>
            <w:tcW w:w="2405" w:type="dxa"/>
            <w:gridSpan w:val="2"/>
            <w:shd w:val="clear" w:color="auto" w:fill="DBE5F1"/>
          </w:tcPr>
          <w:p w:rsidR="00F01829" w:rsidRPr="00756425" w:rsidRDefault="00F01829" w:rsidP="00581CD3">
            <w:pPr>
              <w:pStyle w:val="TableParagraph"/>
              <w:ind w:left="28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3120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right="219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Содействовать самостоятельной изоляции людей с легкими респираторными симптомами, ч</w:t>
            </w:r>
            <w:r w:rsidR="007B1F66">
              <w:rPr>
                <w:rFonts w:ascii="Arial Narrow" w:hAnsi="Arial Narrow"/>
                <w:lang w:val="ru-RU"/>
              </w:rPr>
              <w:t>тобы снизить нагрузку на систему</w:t>
            </w:r>
            <w:r w:rsidRPr="00D92457">
              <w:rPr>
                <w:rFonts w:ascii="Arial Narrow" w:hAnsi="Arial Narrow"/>
                <w:lang w:val="ru-RU"/>
              </w:rPr>
              <w:t xml:space="preserve"> здравоохранения</w:t>
            </w:r>
          </w:p>
        </w:tc>
        <w:tc>
          <w:tcPr>
            <w:tcW w:w="3259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left="105" w:right="363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Содействовать самостоятельной изоляции людей с легкими респираторными симптомами, чтобы снизить нагрузку на систему здравоохранения</w:t>
            </w:r>
          </w:p>
        </w:tc>
        <w:tc>
          <w:tcPr>
            <w:tcW w:w="3151" w:type="dxa"/>
            <w:gridSpan w:val="3"/>
            <w:shd w:val="clear" w:color="auto" w:fill="DBE5F1"/>
          </w:tcPr>
          <w:p w:rsidR="00F01829" w:rsidRPr="00D92457" w:rsidRDefault="00F01829" w:rsidP="007B1F66">
            <w:pPr>
              <w:pStyle w:val="TableParagraph"/>
              <w:ind w:right="9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Активизировать планы повышения </w:t>
            </w:r>
            <w:r w:rsidR="007B1F66">
              <w:rPr>
                <w:rFonts w:ascii="Arial Narrow" w:hAnsi="Arial Narrow"/>
                <w:lang w:val="ru-RU"/>
              </w:rPr>
              <w:t>готовности</w:t>
            </w:r>
            <w:r w:rsidRPr="00D92457">
              <w:rPr>
                <w:rFonts w:ascii="Arial Narrow" w:hAnsi="Arial Narrow"/>
                <w:lang w:val="ru-RU"/>
              </w:rPr>
              <w:t xml:space="preserve"> в медицинских учреждениях (назначить </w:t>
            </w:r>
            <w:r w:rsidR="007B1F66">
              <w:rPr>
                <w:rFonts w:ascii="Arial Narrow" w:hAnsi="Arial Narrow"/>
                <w:lang w:val="ru-RU"/>
              </w:rPr>
              <w:t>ответственные</w:t>
            </w:r>
            <w:r w:rsidRPr="00D92457">
              <w:rPr>
                <w:rFonts w:ascii="Arial Narrow" w:hAnsi="Arial Narrow"/>
                <w:lang w:val="ru-RU"/>
              </w:rPr>
              <w:t xml:space="preserve"> больницы, отложить выборочные процедуры)</w:t>
            </w:r>
          </w:p>
        </w:tc>
        <w:tc>
          <w:tcPr>
            <w:tcW w:w="3544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left="105" w:right="26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Осуществить самостоятельную изоляцию людей с легкими респираторными симптомами, чтобы снизить нагрузку на системы здравоохранения</w:t>
            </w:r>
          </w:p>
        </w:tc>
      </w:tr>
      <w:tr w:rsidR="00F01829" w:rsidRPr="00756425" w:rsidTr="00756425">
        <w:trPr>
          <w:trHeight w:val="686"/>
        </w:trPr>
        <w:tc>
          <w:tcPr>
            <w:tcW w:w="2405" w:type="dxa"/>
            <w:gridSpan w:val="2"/>
          </w:tcPr>
          <w:p w:rsidR="00F01829" w:rsidRPr="00581CD3" w:rsidRDefault="00F01829" w:rsidP="00581CD3">
            <w:pPr>
              <w:pStyle w:val="TableParagraph"/>
              <w:spacing w:line="249" w:lineRule="exact"/>
              <w:ind w:left="28"/>
              <w:rPr>
                <w:rFonts w:ascii="Arial Narrow" w:hAnsi="Arial Narrow"/>
                <w:b/>
                <w:lang w:val="ru-RU"/>
              </w:rPr>
            </w:pPr>
            <w:r w:rsidRPr="00581CD3">
              <w:rPr>
                <w:rFonts w:ascii="Arial Narrow" w:hAnsi="Arial Narrow"/>
                <w:b/>
                <w:lang w:val="ru-RU"/>
              </w:rPr>
              <w:t>Профилактика и контроль инфекций</w:t>
            </w:r>
          </w:p>
        </w:tc>
        <w:tc>
          <w:tcPr>
            <w:tcW w:w="3120" w:type="dxa"/>
            <w:gridSpan w:val="2"/>
          </w:tcPr>
          <w:p w:rsidR="00F01829" w:rsidRPr="00D92457" w:rsidRDefault="00F01829" w:rsidP="00D92457">
            <w:pPr>
              <w:pStyle w:val="TableParagraph"/>
              <w:tabs>
                <w:tab w:val="left" w:pos="3010"/>
              </w:tabs>
              <w:spacing w:before="6"/>
              <w:ind w:right="25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Обучить персонал в области ПКИ и клинического менеджмента специально для </w:t>
            </w:r>
            <w:r w:rsidRPr="00D92457">
              <w:rPr>
                <w:rFonts w:ascii="Arial Narrow" w:hAnsi="Arial Narrow"/>
              </w:rPr>
              <w:t>COVID</w:t>
            </w:r>
            <w:r w:rsidRPr="00D92457">
              <w:rPr>
                <w:rFonts w:ascii="Arial Narrow" w:hAnsi="Arial Narrow"/>
                <w:lang w:val="ru-RU"/>
              </w:rPr>
              <w:t>-19</w:t>
            </w:r>
          </w:p>
        </w:tc>
        <w:tc>
          <w:tcPr>
            <w:tcW w:w="3259" w:type="dxa"/>
            <w:gridSpan w:val="2"/>
          </w:tcPr>
          <w:p w:rsidR="00F01829" w:rsidRPr="00D92457" w:rsidRDefault="00F01829" w:rsidP="00D92457">
            <w:pPr>
              <w:pStyle w:val="TableParagraph"/>
              <w:spacing w:before="6"/>
              <w:ind w:left="105" w:right="97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Обучить персонал в области ПКИ и клинического менеджмента специально для </w:t>
            </w:r>
            <w:r w:rsidRPr="00D92457">
              <w:rPr>
                <w:rFonts w:ascii="Arial Narrow" w:hAnsi="Arial Narrow"/>
              </w:rPr>
              <w:t>COVID</w:t>
            </w:r>
            <w:r w:rsidRPr="00D92457">
              <w:rPr>
                <w:rFonts w:ascii="Arial Narrow" w:hAnsi="Arial Narrow"/>
                <w:lang w:val="ru-RU"/>
              </w:rPr>
              <w:t>-19</w:t>
            </w:r>
          </w:p>
        </w:tc>
        <w:tc>
          <w:tcPr>
            <w:tcW w:w="3151" w:type="dxa"/>
            <w:gridSpan w:val="3"/>
          </w:tcPr>
          <w:p w:rsidR="00F01829" w:rsidRPr="00D92457" w:rsidRDefault="00F01829" w:rsidP="00D92457">
            <w:pPr>
              <w:pStyle w:val="TableParagraph"/>
              <w:spacing w:before="6"/>
              <w:ind w:right="14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Обучить персонал в области ПКИ и клинического менеджмента специально для </w:t>
            </w:r>
            <w:r w:rsidRPr="00D92457">
              <w:rPr>
                <w:rFonts w:ascii="Arial Narrow" w:hAnsi="Arial Narrow"/>
              </w:rPr>
              <w:t>COVID</w:t>
            </w:r>
            <w:r w:rsidRPr="00D92457">
              <w:rPr>
                <w:rFonts w:ascii="Arial Narrow" w:hAnsi="Arial Narrow"/>
                <w:lang w:val="ru-RU"/>
              </w:rPr>
              <w:t>-19</w:t>
            </w:r>
          </w:p>
        </w:tc>
        <w:tc>
          <w:tcPr>
            <w:tcW w:w="3544" w:type="dxa"/>
            <w:gridSpan w:val="2"/>
          </w:tcPr>
          <w:p w:rsidR="00F01829" w:rsidRPr="00D92457" w:rsidRDefault="00F01829" w:rsidP="00132278">
            <w:pPr>
              <w:pStyle w:val="TableParagraph"/>
              <w:ind w:left="0" w:right="180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Переподготовка персонала в области </w:t>
            </w:r>
            <w:r w:rsidR="00132278">
              <w:rPr>
                <w:rFonts w:ascii="Arial Narrow" w:hAnsi="Arial Narrow"/>
                <w:lang w:val="ru-RU"/>
              </w:rPr>
              <w:t>ПКИ</w:t>
            </w:r>
            <w:r w:rsidRPr="00D92457">
              <w:rPr>
                <w:rFonts w:ascii="Arial Narrow" w:hAnsi="Arial Narrow"/>
                <w:lang w:val="ru-RU"/>
              </w:rPr>
              <w:t xml:space="preserve"> и клинического менеджмента специально для </w:t>
            </w:r>
            <w:r w:rsidRPr="00D92457">
              <w:rPr>
                <w:rFonts w:ascii="Arial Narrow" w:hAnsi="Arial Narrow"/>
              </w:rPr>
              <w:t>COVID</w:t>
            </w:r>
            <w:r w:rsidRPr="00D92457">
              <w:rPr>
                <w:rFonts w:ascii="Arial Narrow" w:hAnsi="Arial Narrow"/>
                <w:lang w:val="ru-RU"/>
              </w:rPr>
              <w:t>-19</w:t>
            </w:r>
          </w:p>
        </w:tc>
      </w:tr>
      <w:tr w:rsidR="00F01829" w:rsidRPr="00756425" w:rsidTr="00756425">
        <w:trPr>
          <w:trHeight w:val="943"/>
        </w:trPr>
        <w:tc>
          <w:tcPr>
            <w:tcW w:w="2405" w:type="dxa"/>
            <w:gridSpan w:val="2"/>
            <w:shd w:val="clear" w:color="auto" w:fill="DBE5F1"/>
          </w:tcPr>
          <w:p w:rsidR="00F01829" w:rsidRPr="00756425" w:rsidRDefault="00F01829" w:rsidP="00581CD3">
            <w:pPr>
              <w:pStyle w:val="TableParagraph"/>
              <w:ind w:left="28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3120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right="136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Подготовиться к росту потребностей медицинских учреждений, включая респираторную поддержку и СИЗ</w:t>
            </w:r>
          </w:p>
        </w:tc>
        <w:tc>
          <w:tcPr>
            <w:tcW w:w="3259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left="105" w:right="280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Подготовиться к росту потребностей медицинских учреждений, включая респираторную поддержку и СИЗ</w:t>
            </w:r>
          </w:p>
        </w:tc>
        <w:tc>
          <w:tcPr>
            <w:tcW w:w="3151" w:type="dxa"/>
            <w:gridSpan w:val="3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right="19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Пропагандировать уход на дому в легких случаях, если системы здравоохранения перегружены, и определить системы направления для групп высокого риска</w:t>
            </w:r>
          </w:p>
        </w:tc>
        <w:tc>
          <w:tcPr>
            <w:tcW w:w="3544" w:type="dxa"/>
            <w:gridSpan w:val="2"/>
            <w:shd w:val="clear" w:color="auto" w:fill="DBE5F1"/>
          </w:tcPr>
          <w:p w:rsidR="00F01829" w:rsidRPr="00D92457" w:rsidRDefault="00F01829" w:rsidP="00D92457">
            <w:pPr>
              <w:pStyle w:val="TableParagraph"/>
              <w:ind w:left="105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 xml:space="preserve">Реализовать планы по укреплению </w:t>
            </w:r>
            <w:r w:rsidR="00132278">
              <w:rPr>
                <w:rFonts w:ascii="Arial Narrow" w:hAnsi="Arial Narrow"/>
                <w:lang w:val="ru-RU"/>
              </w:rPr>
              <w:t xml:space="preserve">мощности </w:t>
            </w:r>
            <w:r w:rsidRPr="00D92457">
              <w:rPr>
                <w:rFonts w:ascii="Arial Narrow" w:hAnsi="Arial Narrow"/>
                <w:lang w:val="ru-RU"/>
              </w:rPr>
              <w:t>медицинских учреждений</w:t>
            </w:r>
          </w:p>
        </w:tc>
      </w:tr>
      <w:tr w:rsidR="00F01829" w:rsidRPr="00415450" w:rsidTr="00756425">
        <w:trPr>
          <w:trHeight w:val="945"/>
        </w:trPr>
        <w:tc>
          <w:tcPr>
            <w:tcW w:w="2405" w:type="dxa"/>
            <w:gridSpan w:val="2"/>
          </w:tcPr>
          <w:p w:rsidR="00F01829" w:rsidRPr="00581CD3" w:rsidRDefault="00F01829" w:rsidP="00581CD3">
            <w:pPr>
              <w:pStyle w:val="TableParagraph"/>
              <w:spacing w:before="1"/>
              <w:ind w:left="28"/>
              <w:rPr>
                <w:rFonts w:ascii="Arial Narrow" w:hAnsi="Arial Narrow"/>
                <w:b/>
              </w:rPr>
            </w:pPr>
            <w:r w:rsidRPr="00F01829">
              <w:rPr>
                <w:rFonts w:ascii="Arial Narrow" w:hAnsi="Arial Narrow"/>
                <w:b/>
              </w:rPr>
              <w:t>Общественный ответ</w:t>
            </w:r>
          </w:p>
        </w:tc>
        <w:tc>
          <w:tcPr>
            <w:tcW w:w="3120" w:type="dxa"/>
            <w:gridSpan w:val="2"/>
          </w:tcPr>
          <w:p w:rsidR="00F01829" w:rsidRPr="00D92457" w:rsidRDefault="00F01829" w:rsidP="00D92457">
            <w:pPr>
              <w:pStyle w:val="TableParagraph"/>
              <w:ind w:right="119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Разработать общесоциальные планы и планы обеспечения непрерывности бизнеса</w:t>
            </w:r>
          </w:p>
        </w:tc>
        <w:tc>
          <w:tcPr>
            <w:tcW w:w="3259" w:type="dxa"/>
            <w:gridSpan w:val="2"/>
          </w:tcPr>
          <w:p w:rsidR="00F01829" w:rsidRPr="00D92457" w:rsidRDefault="00F01829" w:rsidP="00D92457">
            <w:pPr>
              <w:pStyle w:val="TableParagraph"/>
              <w:ind w:left="105" w:right="252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Внедрять всеобщее, изменяемое управление и готовые планы обеспечения непрерывности бизнеса</w:t>
            </w:r>
          </w:p>
        </w:tc>
        <w:tc>
          <w:tcPr>
            <w:tcW w:w="3151" w:type="dxa"/>
            <w:gridSpan w:val="3"/>
          </w:tcPr>
          <w:p w:rsidR="00F01829" w:rsidRPr="00D92457" w:rsidRDefault="00F01829" w:rsidP="00D92457">
            <w:pPr>
              <w:pStyle w:val="TableParagraph"/>
              <w:ind w:right="125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Внедрение всеобщественной устойчивости, гибкого управления, обеспечение непрерывности бизнеса и общественных услуг</w:t>
            </w:r>
          </w:p>
        </w:tc>
        <w:tc>
          <w:tcPr>
            <w:tcW w:w="3544" w:type="dxa"/>
            <w:gridSpan w:val="2"/>
          </w:tcPr>
          <w:p w:rsidR="00F01829" w:rsidRPr="00D92457" w:rsidRDefault="00F01829" w:rsidP="00D92457">
            <w:pPr>
              <w:pStyle w:val="TableParagraph"/>
              <w:ind w:left="105" w:right="79"/>
              <w:rPr>
                <w:rFonts w:ascii="Arial Narrow" w:hAnsi="Arial Narrow"/>
                <w:lang w:val="ru-RU"/>
              </w:rPr>
            </w:pPr>
            <w:r w:rsidRPr="00D92457">
              <w:rPr>
                <w:rFonts w:ascii="Arial Narrow" w:hAnsi="Arial Narrow"/>
                <w:lang w:val="ru-RU"/>
              </w:rPr>
              <w:t>Внедрение всеобщественной устойчивости, гибкого управления, обеспечение непрерывности бизнеса и общественных услуг</w:t>
            </w:r>
          </w:p>
        </w:tc>
      </w:tr>
    </w:tbl>
    <w:p w:rsidR="00C71215" w:rsidRPr="00415450" w:rsidRDefault="00C71215">
      <w:pPr>
        <w:pStyle w:val="a3"/>
        <w:rPr>
          <w:b/>
          <w:lang w:val="ru-RU"/>
        </w:rPr>
      </w:pPr>
    </w:p>
    <w:p w:rsidR="00C71215" w:rsidRPr="00C11DAB" w:rsidRDefault="00025A20">
      <w:pPr>
        <w:pStyle w:val="a3"/>
        <w:spacing w:before="101"/>
        <w:ind w:left="109"/>
        <w:rPr>
          <w:rFonts w:ascii="Arial Narrow" w:hAnsi="Arial Narrow"/>
          <w:lang w:val="ru-RU"/>
        </w:rPr>
      </w:pPr>
      <w:r w:rsidRPr="00C11DAB">
        <w:rPr>
          <w:rFonts w:ascii="Arial Narrow" w:hAnsi="Arial Narrow"/>
          <w:lang w:val="ru-RU"/>
        </w:rPr>
        <w:t xml:space="preserve">© </w:t>
      </w:r>
      <w:r w:rsidR="00C11DAB">
        <w:rPr>
          <w:rFonts w:ascii="Arial Narrow" w:hAnsi="Arial Narrow"/>
          <w:lang w:val="ru-RU"/>
        </w:rPr>
        <w:t>Всемирная Организация здравоохранения</w:t>
      </w:r>
      <w:r w:rsidRPr="00C11DAB">
        <w:rPr>
          <w:rFonts w:ascii="Arial Narrow" w:hAnsi="Arial Narrow"/>
          <w:lang w:val="ru-RU"/>
        </w:rPr>
        <w:t xml:space="preserve"> 2020. </w:t>
      </w:r>
      <w:r w:rsidR="00C11DAB">
        <w:rPr>
          <w:rFonts w:ascii="Arial Narrow" w:hAnsi="Arial Narrow"/>
          <w:lang w:val="ru-RU"/>
        </w:rPr>
        <w:t>Все права защищены</w:t>
      </w:r>
      <w:r w:rsidRPr="00C11DAB">
        <w:rPr>
          <w:rFonts w:ascii="Arial Narrow" w:hAnsi="Arial Narrow"/>
          <w:lang w:val="ru-RU"/>
        </w:rPr>
        <w:t>.</w:t>
      </w:r>
    </w:p>
    <w:p w:rsidR="00C71215" w:rsidRPr="00C11DAB" w:rsidRDefault="00C71215">
      <w:pPr>
        <w:pStyle w:val="a3"/>
        <w:spacing w:before="6"/>
        <w:rPr>
          <w:rFonts w:ascii="Arial Narrow"/>
          <w:lang w:val="ru-RU"/>
        </w:rPr>
      </w:pPr>
    </w:p>
    <w:p w:rsidR="00C71215" w:rsidRPr="00C11DAB" w:rsidRDefault="00C11DAB" w:rsidP="00C11DAB">
      <w:pPr>
        <w:pStyle w:val="a3"/>
        <w:spacing w:before="1" w:line="271" w:lineRule="auto"/>
        <w:ind w:left="109" w:right="396"/>
        <w:rPr>
          <w:rFonts w:ascii="Arial Narrow" w:hAnsi="Arial Narrow"/>
          <w:lang w:val="ru-RU"/>
        </w:rPr>
      </w:pPr>
      <w:r w:rsidRPr="00C11DAB">
        <w:rPr>
          <w:rFonts w:ascii="Arial Narrow" w:hAnsi="Arial Narrow"/>
          <w:lang w:val="ru-RU"/>
        </w:rPr>
        <w:t>Это черновик. Содержание этого документа не является окончательным, и текст может быть пересмотрен перед публикацией. Документ не может быть рецензирован, абстрагирован, процитирован, воспроизведен, передан, распространен, переведен или адаптирован, частично или полностью, в любой форме или любыми средствами без разрешения Всемирной организации здравоохранения.</w:t>
      </w:r>
    </w:p>
    <w:sectPr w:rsidR="00C71215" w:rsidRPr="00C11DAB" w:rsidSect="00F01829">
      <w:headerReference w:type="default" r:id="rId9"/>
      <w:footerReference w:type="default" r:id="rId10"/>
      <w:pgSz w:w="16840" w:h="11910" w:orient="landscape"/>
      <w:pgMar w:top="1040" w:right="540" w:bottom="709" w:left="620" w:header="709" w:footer="7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20" w:rsidRDefault="00025A20" w:rsidP="00C71215">
      <w:r>
        <w:separator/>
      </w:r>
    </w:p>
  </w:endnote>
  <w:endnote w:type="continuationSeparator" w:id="1">
    <w:p w:rsidR="00025A20" w:rsidRDefault="00025A20" w:rsidP="00C71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15" w:rsidRDefault="00C71215">
    <w:pPr>
      <w:pStyle w:val="a3"/>
      <w:spacing w:line="14" w:lineRule="auto"/>
    </w:pPr>
    <w:r w:rsidRPr="00C712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3pt;margin-top:548.95pt;width:8.2pt;height:12.5pt;z-index:-252063744;mso-position-horizontal-relative:page;mso-position-vertical-relative:page" filled="f" stroked="f">
          <v:textbox inset="0,0,0,0">
            <w:txbxContent>
              <w:p w:rsidR="00C71215" w:rsidRDefault="00C71215">
                <w:pPr>
                  <w:spacing w:before="22"/>
                  <w:ind w:left="4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 w:rsidR="00025A20">
                  <w:rPr>
                    <w:rFonts w:ascii="Arial Narrow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32278">
                  <w:rPr>
                    <w:rFonts w:ascii="Arial Narrow"/>
                    <w:noProof/>
                    <w:w w:val="101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20" w:rsidRDefault="00025A20" w:rsidP="00C71215">
      <w:r>
        <w:separator/>
      </w:r>
    </w:p>
  </w:footnote>
  <w:footnote w:type="continuationSeparator" w:id="1">
    <w:p w:rsidR="00025A20" w:rsidRDefault="00025A20" w:rsidP="00C71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15" w:rsidRDefault="00C71215">
    <w:pPr>
      <w:pStyle w:val="a3"/>
      <w:spacing w:line="14" w:lineRule="auto"/>
    </w:pPr>
    <w:r w:rsidRPr="00C712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55pt;margin-top:34.8pt;width:269.65pt;height:11.65pt;z-index:-252064768;mso-position-horizontal-relative:page;mso-position-vertical-relative:page" filled="f" stroked="f">
          <v:textbox inset="0,0,0,0">
            <w:txbxContent>
              <w:p w:rsidR="00C71215" w:rsidRDefault="00025A20">
                <w:pPr>
                  <w:spacing w:before="18"/>
                  <w:ind w:left="20"/>
                  <w:rPr>
                    <w:rFonts w:ascii="Arial Narrow"/>
                    <w:sz w:val="17"/>
                  </w:rPr>
                </w:pPr>
                <w:r>
                  <w:rPr>
                    <w:rFonts w:ascii="Arial Narrow"/>
                    <w:color w:val="008DCD"/>
                    <w:sz w:val="17"/>
                  </w:rPr>
                  <w:t>Critical preparedness, readiness and response actions for COVID-19: Interim guidance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C3E68"/>
    <w:multiLevelType w:val="hybridMultilevel"/>
    <w:tmpl w:val="90D4C180"/>
    <w:lvl w:ilvl="0" w:tplc="D9FEA7EE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F81ABCD8">
      <w:start w:val="1"/>
      <w:numFmt w:val="decimal"/>
      <w:lvlText w:val="%2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2" w:tplc="1BBEB8D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en-US"/>
      </w:rPr>
    </w:lvl>
    <w:lvl w:ilvl="3" w:tplc="34483D96">
      <w:numFmt w:val="bullet"/>
      <w:lvlText w:val="•"/>
      <w:lvlJc w:val="left"/>
      <w:pPr>
        <w:ind w:left="509" w:hanging="360"/>
      </w:pPr>
      <w:rPr>
        <w:rFonts w:hint="default"/>
        <w:lang w:val="en-US" w:eastAsia="en-US" w:bidi="en-US"/>
      </w:rPr>
    </w:lvl>
    <w:lvl w:ilvl="4" w:tplc="11FC5B7E">
      <w:numFmt w:val="bullet"/>
      <w:lvlText w:val="•"/>
      <w:lvlJc w:val="left"/>
      <w:pPr>
        <w:ind w:left="354" w:hanging="360"/>
      </w:pPr>
      <w:rPr>
        <w:rFonts w:hint="default"/>
        <w:lang w:val="en-US" w:eastAsia="en-US" w:bidi="en-US"/>
      </w:rPr>
    </w:lvl>
    <w:lvl w:ilvl="5" w:tplc="5BCC1D68">
      <w:numFmt w:val="bullet"/>
      <w:lvlText w:val="•"/>
      <w:lvlJc w:val="left"/>
      <w:pPr>
        <w:ind w:left="199" w:hanging="360"/>
      </w:pPr>
      <w:rPr>
        <w:rFonts w:hint="default"/>
        <w:lang w:val="en-US" w:eastAsia="en-US" w:bidi="en-US"/>
      </w:rPr>
    </w:lvl>
    <w:lvl w:ilvl="6" w:tplc="72EAEA34">
      <w:numFmt w:val="bullet"/>
      <w:lvlText w:val="•"/>
      <w:lvlJc w:val="left"/>
      <w:pPr>
        <w:ind w:left="44" w:hanging="360"/>
      </w:pPr>
      <w:rPr>
        <w:rFonts w:hint="default"/>
        <w:lang w:val="en-US" w:eastAsia="en-US" w:bidi="en-US"/>
      </w:rPr>
    </w:lvl>
    <w:lvl w:ilvl="7" w:tplc="7DEC41C8">
      <w:numFmt w:val="bullet"/>
      <w:lvlText w:val="•"/>
      <w:lvlJc w:val="left"/>
      <w:pPr>
        <w:ind w:left="-112" w:hanging="360"/>
      </w:pPr>
      <w:rPr>
        <w:rFonts w:hint="default"/>
        <w:lang w:val="en-US" w:eastAsia="en-US" w:bidi="en-US"/>
      </w:rPr>
    </w:lvl>
    <w:lvl w:ilvl="8" w:tplc="E0EA1882">
      <w:numFmt w:val="bullet"/>
      <w:lvlText w:val="•"/>
      <w:lvlJc w:val="left"/>
      <w:pPr>
        <w:ind w:left="-26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1215"/>
    <w:rsid w:val="00025A20"/>
    <w:rsid w:val="00035283"/>
    <w:rsid w:val="000C6F90"/>
    <w:rsid w:val="00132278"/>
    <w:rsid w:val="00146B03"/>
    <w:rsid w:val="001C0E65"/>
    <w:rsid w:val="00287963"/>
    <w:rsid w:val="00393DF3"/>
    <w:rsid w:val="00415450"/>
    <w:rsid w:val="0057627B"/>
    <w:rsid w:val="00581CD3"/>
    <w:rsid w:val="005A38EF"/>
    <w:rsid w:val="00610083"/>
    <w:rsid w:val="006E609F"/>
    <w:rsid w:val="00756425"/>
    <w:rsid w:val="00766089"/>
    <w:rsid w:val="007B1F66"/>
    <w:rsid w:val="0081342D"/>
    <w:rsid w:val="009F64E3"/>
    <w:rsid w:val="00BA7C9A"/>
    <w:rsid w:val="00BD0D34"/>
    <w:rsid w:val="00BF64ED"/>
    <w:rsid w:val="00C02F76"/>
    <w:rsid w:val="00C11DAB"/>
    <w:rsid w:val="00C71215"/>
    <w:rsid w:val="00CB1A3C"/>
    <w:rsid w:val="00CF6E62"/>
    <w:rsid w:val="00D75096"/>
    <w:rsid w:val="00D92457"/>
    <w:rsid w:val="00DD301F"/>
    <w:rsid w:val="00F01829"/>
    <w:rsid w:val="00F42E00"/>
    <w:rsid w:val="00F9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215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215"/>
    <w:rPr>
      <w:sz w:val="20"/>
      <w:szCs w:val="20"/>
    </w:rPr>
  </w:style>
  <w:style w:type="paragraph" w:styleId="a4">
    <w:name w:val="List Paragraph"/>
    <w:basedOn w:val="a"/>
    <w:uiPriority w:val="1"/>
    <w:qFormat/>
    <w:rsid w:val="00C71215"/>
    <w:pPr>
      <w:ind w:left="46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71215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mergencies/diseases/novel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- 20200307_CCCC_Guidance table_COVID-19_FINAL.docx</vt:lpstr>
    </vt:vector>
  </TitlesOfParts>
  <Company>eMachines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- 20200307_CCCC_Guidance table_COVID-19_FINAL.docx</dc:title>
  <cp:lastModifiedBy>Valued eMachines Customer</cp:lastModifiedBy>
  <cp:revision>27</cp:revision>
  <dcterms:created xsi:type="dcterms:W3CDTF">2020-03-08T16:23:00Z</dcterms:created>
  <dcterms:modified xsi:type="dcterms:W3CDTF">2020-03-08T17:43:00Z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Word</vt:lpwstr>
  </property>
  <property fmtid="{D5CDD505-2E9C-101B-9397-08002B2CF9AE}" pid="4" name="LastSaved">
    <vt:filetime>2020-03-07T00:00:00Z</vt:filetime>
  </property>
</Properties>
</file>